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00E8F" w14:textId="77777777" w:rsidR="00A868E1" w:rsidRPr="009E5EAC" w:rsidRDefault="00E86DF4" w:rsidP="002F6648">
      <w:pPr>
        <w:pStyle w:val="Heading1"/>
        <w:tabs>
          <w:tab w:val="left" w:pos="6675"/>
        </w:tabs>
        <w:ind w:left="-2160" w:firstLine="180"/>
        <w:rPr>
          <w:sz w:val="18"/>
        </w:rPr>
      </w:pPr>
      <w:r w:rsidRPr="009E5EAC">
        <w:rPr>
          <w:sz w:val="22"/>
        </w:rPr>
        <w:t>Issue</w:t>
      </w:r>
      <w:bookmarkStart w:id="0" w:name="_GoBack"/>
      <w:bookmarkEnd w:id="0"/>
      <w:r w:rsidR="00D0530D" w:rsidRPr="009E5EAC">
        <w:rPr>
          <w:sz w:val="22"/>
        </w:rPr>
        <w:tab/>
      </w:r>
    </w:p>
    <w:p w14:paraId="4D8B734B" w14:textId="77777777" w:rsidR="00D93DFF" w:rsidRPr="009E5EAC" w:rsidRDefault="00742980" w:rsidP="00404FA6">
      <w:pPr>
        <w:tabs>
          <w:tab w:val="left" w:pos="9912"/>
        </w:tabs>
        <w:ind w:left="-810"/>
      </w:pPr>
      <w:r w:rsidRPr="009E5EAC">
        <w:t>Eac</w:t>
      </w:r>
      <w:r w:rsidR="001123C8" w:rsidRPr="009E5EAC">
        <w:t xml:space="preserve">h Service is currently </w:t>
      </w:r>
      <w:r w:rsidR="00404FA6" w:rsidRPr="009E5EAC">
        <w:t>capturing different costs within</w:t>
      </w:r>
      <w:r w:rsidR="004C6F73" w:rsidRPr="009E5EAC">
        <w:t xml:space="preserve"> their </w:t>
      </w:r>
      <w:r w:rsidR="00C53E47" w:rsidRPr="009E5EAC">
        <w:t>o</w:t>
      </w:r>
      <w:r w:rsidR="004C6F73" w:rsidRPr="009E5EAC">
        <w:t xml:space="preserve">verhead </w:t>
      </w:r>
      <w:r w:rsidR="00DA4A32" w:rsidRPr="009E5EAC">
        <w:t>/</w:t>
      </w:r>
      <w:r w:rsidR="00C53E47" w:rsidRPr="009E5EAC">
        <w:t>c</w:t>
      </w:r>
      <w:r w:rsidR="00DA4A32" w:rsidRPr="009E5EAC">
        <w:t xml:space="preserve">ommon </w:t>
      </w:r>
      <w:r w:rsidR="00C53E47" w:rsidRPr="009E5EAC">
        <w:t>s</w:t>
      </w:r>
      <w:r w:rsidR="00DA4A32" w:rsidRPr="009E5EAC">
        <w:t xml:space="preserve">upport </w:t>
      </w:r>
      <w:r w:rsidR="00C53E47" w:rsidRPr="009E5EAC">
        <w:t xml:space="preserve">function </w:t>
      </w:r>
      <w:r w:rsidR="00404FA6" w:rsidRPr="009E5EAC">
        <w:t>account</w:t>
      </w:r>
      <w:r w:rsidR="00C53E47" w:rsidRPr="009E5EAC">
        <w:t>ing</w:t>
      </w:r>
      <w:r w:rsidR="00404FA6" w:rsidRPr="009E5EAC">
        <w:t>.</w:t>
      </w:r>
      <w:r w:rsidR="004C6F73" w:rsidRPr="009E5EAC">
        <w:t xml:space="preserve"> </w:t>
      </w:r>
      <w:r w:rsidR="00C53E47" w:rsidRPr="009E5EAC">
        <w:t>To improve consistency</w:t>
      </w:r>
      <w:proofErr w:type="gramStart"/>
      <w:r w:rsidR="00C53E47" w:rsidRPr="009E5EAC">
        <w:t>,  d</w:t>
      </w:r>
      <w:r w:rsidR="00BE2B16" w:rsidRPr="009E5EAC">
        <w:t>efinitional</w:t>
      </w:r>
      <w:proofErr w:type="gramEnd"/>
      <w:r w:rsidR="00BE2B16" w:rsidRPr="009E5EAC">
        <w:t xml:space="preserve"> standardization is necessary so that all Services are including the same costs </w:t>
      </w:r>
      <w:r w:rsidR="00C53E47" w:rsidRPr="009E5EAC">
        <w:t>when reporting</w:t>
      </w:r>
      <w:r w:rsidR="00BE2B16" w:rsidRPr="009E5EAC">
        <w:t xml:space="preserve"> </w:t>
      </w:r>
      <w:r w:rsidR="00C53E47" w:rsidRPr="009E5EAC">
        <w:t xml:space="preserve"> and accounting for o</w:t>
      </w:r>
      <w:r w:rsidR="00BE2B16" w:rsidRPr="009E5EAC">
        <w:t>verhead /</w:t>
      </w:r>
      <w:r w:rsidR="00C53E47" w:rsidRPr="009E5EAC">
        <w:t>c</w:t>
      </w:r>
      <w:r w:rsidR="00BE2B16" w:rsidRPr="009E5EAC">
        <w:t xml:space="preserve">ommon </w:t>
      </w:r>
      <w:r w:rsidR="00C53E47" w:rsidRPr="009E5EAC">
        <w:t>s</w:t>
      </w:r>
      <w:r w:rsidR="00BE2B16" w:rsidRPr="009E5EAC">
        <w:t>upport</w:t>
      </w:r>
      <w:r w:rsidR="00C53E47" w:rsidRPr="009E5EAC">
        <w:t>.</w:t>
      </w:r>
      <w:r w:rsidR="00BE2B16" w:rsidRPr="009E5EAC">
        <w:t xml:space="preserve"> </w:t>
      </w:r>
    </w:p>
    <w:p w14:paraId="79D2DAEF" w14:textId="77777777" w:rsidR="002479EF" w:rsidRPr="009E5EAC" w:rsidRDefault="0065297E" w:rsidP="0065297E">
      <w:pPr>
        <w:tabs>
          <w:tab w:val="left" w:pos="9912"/>
        </w:tabs>
        <w:ind w:left="-810"/>
      </w:pPr>
      <w:r w:rsidRPr="009E5EAC">
        <w:tab/>
      </w:r>
    </w:p>
    <w:p w14:paraId="29260919" w14:textId="77777777" w:rsidR="002479EF" w:rsidRPr="009E5EAC" w:rsidRDefault="002479EF" w:rsidP="002479EF">
      <w:pPr>
        <w:pStyle w:val="Heading1"/>
        <w:tabs>
          <w:tab w:val="left" w:pos="6675"/>
        </w:tabs>
        <w:ind w:left="-2160" w:firstLine="180"/>
        <w:rPr>
          <w:sz w:val="22"/>
        </w:rPr>
      </w:pPr>
      <w:r w:rsidRPr="009E5EAC">
        <w:rPr>
          <w:sz w:val="22"/>
        </w:rPr>
        <w:t>Research</w:t>
      </w:r>
    </w:p>
    <w:p w14:paraId="3337CABE" w14:textId="77777777" w:rsidR="00ED6A35" w:rsidRPr="009E5EAC" w:rsidRDefault="002479EF" w:rsidP="004E07FE">
      <w:pPr>
        <w:ind w:left="-810"/>
      </w:pPr>
      <w:r w:rsidRPr="009E5EAC">
        <w:t xml:space="preserve">Below outlines the </w:t>
      </w:r>
      <w:r w:rsidR="00B80AE9" w:rsidRPr="009E5EAC">
        <w:t>guidance</w:t>
      </w:r>
      <w:r w:rsidR="004E07FE" w:rsidRPr="009E5EAC">
        <w:t xml:space="preserve"> and </w:t>
      </w:r>
      <w:proofErr w:type="gramStart"/>
      <w:r w:rsidR="004E07FE" w:rsidRPr="009E5EAC">
        <w:t>DoD</w:t>
      </w:r>
      <w:proofErr w:type="gramEnd"/>
      <w:r w:rsidR="004E07FE" w:rsidRPr="009E5EAC">
        <w:t xml:space="preserve"> regulations</w:t>
      </w:r>
      <w:r w:rsidR="00B80AE9" w:rsidRPr="009E5EAC">
        <w:t xml:space="preserve"> on </w:t>
      </w:r>
      <w:r w:rsidR="00BE2B16" w:rsidRPr="009E5EAC">
        <w:t>overhead costs/</w:t>
      </w:r>
      <w:r w:rsidR="005620CE" w:rsidRPr="009E5EAC">
        <w:t>common support</w:t>
      </w:r>
      <w:r w:rsidR="004E07FE" w:rsidRPr="009E5EAC">
        <w:t>. The table shows</w:t>
      </w:r>
      <w:r w:rsidR="005173CF" w:rsidRPr="009E5EAC">
        <w:t>, what we understand to be the current</w:t>
      </w:r>
      <w:r w:rsidR="004E07FE" w:rsidRPr="009E5EAC">
        <w:t xml:space="preserve"> </w:t>
      </w:r>
      <w:r w:rsidR="005173CF" w:rsidRPr="009E5EAC">
        <w:t>overhead</w:t>
      </w:r>
      <w:r w:rsidR="00C53E47" w:rsidRPr="009E5EAC">
        <w:t>/common support</w:t>
      </w:r>
      <w:r w:rsidR="005173CF" w:rsidRPr="009E5EAC">
        <w:t xml:space="preserve"> </w:t>
      </w:r>
      <w:r w:rsidR="004E07FE" w:rsidRPr="009E5EAC">
        <w:t xml:space="preserve">definitions currently in use by each of the services. </w:t>
      </w:r>
    </w:p>
    <w:p w14:paraId="7E699983" w14:textId="77777777" w:rsidR="00D93DFF" w:rsidRPr="009E5EAC" w:rsidRDefault="00D93DFF" w:rsidP="004E07FE">
      <w:pPr>
        <w:ind w:left="-810"/>
      </w:pPr>
    </w:p>
    <w:tbl>
      <w:tblPr>
        <w:tblStyle w:val="GridTable4"/>
        <w:tblpPr w:leftFromText="180" w:rightFromText="180" w:vertAnchor="text" w:horzAnchor="page" w:tblpXSpec="center" w:tblpY="151"/>
        <w:tblW w:w="15081" w:type="dxa"/>
        <w:tblLayout w:type="fixed"/>
        <w:tblLook w:val="04A0" w:firstRow="1" w:lastRow="0" w:firstColumn="1" w:lastColumn="0" w:noHBand="0" w:noVBand="1"/>
      </w:tblPr>
      <w:tblGrid>
        <w:gridCol w:w="6115"/>
        <w:gridCol w:w="2880"/>
        <w:gridCol w:w="506"/>
        <w:gridCol w:w="1654"/>
        <w:gridCol w:w="1890"/>
        <w:gridCol w:w="2036"/>
      </w:tblGrid>
      <w:tr w:rsidR="00D97570" w:rsidRPr="009E5EAC" w14:paraId="03F520D3" w14:textId="77777777" w:rsidTr="00742B72">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34332329" w14:textId="77777777" w:rsidR="00D97570" w:rsidRPr="009E5EAC" w:rsidRDefault="005620CE" w:rsidP="005305F6">
            <w:pPr>
              <w:jc w:val="center"/>
              <w:rPr>
                <w:rFonts w:asciiTheme="minorHAnsi" w:hAnsiTheme="minorHAnsi" w:cs="Times New Roman"/>
                <w:sz w:val="24"/>
                <w:szCs w:val="26"/>
              </w:rPr>
            </w:pPr>
            <w:r w:rsidRPr="009E5EAC">
              <w:rPr>
                <w:sz w:val="24"/>
                <w:szCs w:val="26"/>
              </w:rPr>
              <w:t xml:space="preserve">Common Support </w:t>
            </w:r>
            <w:r w:rsidR="00181179" w:rsidRPr="009E5EAC">
              <w:rPr>
                <w:sz w:val="24"/>
                <w:szCs w:val="26"/>
              </w:rPr>
              <w:t xml:space="preserve">Overhead </w:t>
            </w:r>
            <w:r w:rsidR="005A52D5" w:rsidRPr="009E5EAC">
              <w:rPr>
                <w:sz w:val="24"/>
                <w:szCs w:val="26"/>
              </w:rPr>
              <w:t>Definitions</w:t>
            </w:r>
          </w:p>
        </w:tc>
        <w:tc>
          <w:tcPr>
            <w:tcW w:w="3386" w:type="dxa"/>
            <w:gridSpan w:val="2"/>
            <w:vAlign w:val="center"/>
          </w:tcPr>
          <w:p w14:paraId="28D8BD61" w14:textId="77777777" w:rsidR="00D97570" w:rsidRPr="009E5EAC"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4"/>
                <w:szCs w:val="26"/>
              </w:rPr>
            </w:pPr>
            <w:r w:rsidRPr="009E5EAC">
              <w:rPr>
                <w:rFonts w:asciiTheme="minorHAnsi" w:hAnsiTheme="minorHAnsi" w:cs="Times New Roman"/>
                <w:sz w:val="24"/>
                <w:szCs w:val="26"/>
              </w:rPr>
              <w:t>Air Force</w:t>
            </w:r>
          </w:p>
        </w:tc>
        <w:tc>
          <w:tcPr>
            <w:tcW w:w="1654" w:type="dxa"/>
            <w:vAlign w:val="center"/>
          </w:tcPr>
          <w:p w14:paraId="1DE5F1C8" w14:textId="77777777" w:rsidR="00D97570" w:rsidRPr="009E5EAC"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4"/>
                <w:szCs w:val="26"/>
              </w:rPr>
            </w:pPr>
            <w:r w:rsidRPr="009E5EAC">
              <w:rPr>
                <w:rFonts w:asciiTheme="minorHAnsi" w:hAnsiTheme="minorHAnsi" w:cs="Times New Roman"/>
                <w:sz w:val="24"/>
                <w:szCs w:val="26"/>
              </w:rPr>
              <w:t>Army</w:t>
            </w:r>
          </w:p>
        </w:tc>
        <w:tc>
          <w:tcPr>
            <w:tcW w:w="1890" w:type="dxa"/>
            <w:vAlign w:val="center"/>
          </w:tcPr>
          <w:p w14:paraId="19793A55" w14:textId="77777777" w:rsidR="00D97570" w:rsidRPr="009E5EAC"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4"/>
                <w:szCs w:val="26"/>
              </w:rPr>
            </w:pPr>
            <w:r w:rsidRPr="009E5EAC">
              <w:rPr>
                <w:rFonts w:asciiTheme="minorHAnsi" w:hAnsiTheme="minorHAnsi" w:cs="Times New Roman"/>
                <w:sz w:val="24"/>
                <w:szCs w:val="26"/>
              </w:rPr>
              <w:t>Navy</w:t>
            </w:r>
          </w:p>
        </w:tc>
        <w:tc>
          <w:tcPr>
            <w:tcW w:w="2036" w:type="dxa"/>
            <w:vAlign w:val="center"/>
          </w:tcPr>
          <w:p w14:paraId="5ABF9CF4" w14:textId="77777777" w:rsidR="00D97570" w:rsidRPr="009E5EAC" w:rsidRDefault="00D97570" w:rsidP="00E4750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4"/>
                <w:szCs w:val="26"/>
              </w:rPr>
            </w:pPr>
            <w:r w:rsidRPr="009E5EAC">
              <w:rPr>
                <w:rFonts w:asciiTheme="minorHAnsi" w:hAnsiTheme="minorHAnsi" w:cs="Times New Roman"/>
                <w:sz w:val="24"/>
                <w:szCs w:val="26"/>
              </w:rPr>
              <w:t>Marines</w:t>
            </w:r>
          </w:p>
        </w:tc>
      </w:tr>
      <w:tr w:rsidR="00D97570" w:rsidRPr="009E5EAC" w14:paraId="4123BBDC" w14:textId="77777777" w:rsidTr="00CD46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DF8EC82" w14:textId="77777777" w:rsidR="00D97570" w:rsidRPr="009E5EAC" w:rsidRDefault="005A52D5" w:rsidP="005305F6">
            <w:pPr>
              <w:rPr>
                <w:rFonts w:asciiTheme="minorHAnsi" w:hAnsiTheme="minorHAnsi" w:cs="Times New Roman"/>
                <w:szCs w:val="24"/>
              </w:rPr>
            </w:pPr>
            <w:r w:rsidRPr="009E5EAC">
              <w:rPr>
                <w:rFonts w:asciiTheme="minorHAnsi" w:hAnsiTheme="minorHAnsi" w:cs="Times New Roman"/>
                <w:szCs w:val="24"/>
              </w:rPr>
              <w:t>Overhead Costs/Common Support Function Definitions</w:t>
            </w:r>
            <w:r w:rsidR="00D97570" w:rsidRPr="009E5EAC">
              <w:rPr>
                <w:rFonts w:asciiTheme="minorHAnsi" w:hAnsiTheme="minorHAnsi" w:cs="Times New Roman"/>
                <w:szCs w:val="24"/>
              </w:rPr>
              <w:t xml:space="preserve"> </w:t>
            </w:r>
          </w:p>
        </w:tc>
        <w:tc>
          <w:tcPr>
            <w:tcW w:w="2880" w:type="dxa"/>
          </w:tcPr>
          <w:p w14:paraId="0196175D" w14:textId="77777777" w:rsidR="00D97570" w:rsidRPr="009E5EAC" w:rsidRDefault="005A52D5" w:rsidP="00E7374E">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Need more information.</w:t>
            </w:r>
          </w:p>
        </w:tc>
        <w:tc>
          <w:tcPr>
            <w:tcW w:w="2160" w:type="dxa"/>
            <w:gridSpan w:val="2"/>
          </w:tcPr>
          <w:p w14:paraId="760B000E" w14:textId="77777777" w:rsidR="00D97570" w:rsidRPr="009E5EAC" w:rsidRDefault="00E54D1F" w:rsidP="00E54D1F">
            <w:pPr>
              <w:cnfStyle w:val="000000100000" w:firstRow="0" w:lastRow="0" w:firstColumn="0" w:lastColumn="0" w:oddVBand="0" w:evenVBand="0" w:oddHBand="1" w:evenHBand="0" w:firstRowFirstColumn="0" w:firstRowLastColumn="0" w:lastRowFirstColumn="0" w:lastRowLastColumn="0"/>
              <w:rPr>
                <w:color w:val="0070C0"/>
                <w:szCs w:val="24"/>
              </w:rPr>
            </w:pPr>
            <w:r w:rsidRPr="009E5EAC">
              <w:rPr>
                <w:szCs w:val="24"/>
              </w:rPr>
              <w:t>Need more information.</w:t>
            </w:r>
          </w:p>
        </w:tc>
        <w:tc>
          <w:tcPr>
            <w:tcW w:w="1890" w:type="dxa"/>
          </w:tcPr>
          <w:p w14:paraId="1F0E1EE9" w14:textId="77777777" w:rsidR="00D97570" w:rsidRPr="009E5EAC" w:rsidRDefault="005A52D5" w:rsidP="00E7374E">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Need more information.</w:t>
            </w:r>
          </w:p>
        </w:tc>
        <w:tc>
          <w:tcPr>
            <w:tcW w:w="2036" w:type="dxa"/>
          </w:tcPr>
          <w:p w14:paraId="7BC49F64" w14:textId="77777777" w:rsidR="00D97570" w:rsidRPr="009E5EAC" w:rsidRDefault="00E54D1F" w:rsidP="00E54D1F">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Need more information.</w:t>
            </w:r>
          </w:p>
        </w:tc>
      </w:tr>
      <w:tr w:rsidR="000E0DCA" w:rsidRPr="009E5EAC" w14:paraId="776B063B" w14:textId="77777777" w:rsidTr="00CD4636">
        <w:tc>
          <w:tcPr>
            <w:cnfStyle w:val="001000000000" w:firstRow="0" w:lastRow="0" w:firstColumn="1" w:lastColumn="0" w:oddVBand="0" w:evenVBand="0" w:oddHBand="0" w:evenHBand="0" w:firstRowFirstColumn="0" w:firstRowLastColumn="0" w:lastRowFirstColumn="0" w:lastRowLastColumn="0"/>
            <w:tcW w:w="6115" w:type="dxa"/>
          </w:tcPr>
          <w:p w14:paraId="12EABC91" w14:textId="77777777" w:rsidR="000E0DCA" w:rsidRPr="009E5EAC" w:rsidRDefault="000E0DCA" w:rsidP="000E0DCA">
            <w:pPr>
              <w:rPr>
                <w:rFonts w:asciiTheme="minorHAnsi" w:hAnsiTheme="minorHAnsi" w:cs="Times New Roman"/>
                <w:b w:val="0"/>
                <w:szCs w:val="24"/>
              </w:rPr>
            </w:pPr>
            <w:r w:rsidRPr="009E5EAC">
              <w:rPr>
                <w:rFonts w:asciiTheme="minorHAnsi" w:hAnsiTheme="minorHAnsi" w:cs="Times New Roman"/>
                <w:szCs w:val="24"/>
              </w:rPr>
              <w:t>OP-34</w:t>
            </w:r>
            <w:r w:rsidRPr="009E5EAC">
              <w:rPr>
                <w:rFonts w:asciiTheme="minorHAnsi" w:hAnsiTheme="minorHAnsi" w:cs="Times New Roman"/>
                <w:b w:val="0"/>
                <w:szCs w:val="24"/>
              </w:rPr>
              <w:t xml:space="preserve">: </w:t>
            </w:r>
            <w:r w:rsidRPr="009E5EAC">
              <w:rPr>
                <w:rFonts w:asciiTheme="minorHAnsi" w:hAnsiTheme="minorHAnsi" w:cs="Times New Roman"/>
                <w:b w:val="0"/>
                <w:bCs w:val="0"/>
                <w:szCs w:val="24"/>
              </w:rPr>
              <w:t>At installation and headquarters, overhead is appropriated fund direct costs that are attributable to more than one MWR program and are associated with the general management or administrative support of MWR programs. Overhead costs include military and civilian personnel including benefits; travel; training; supplies; equipment (includes rental and maintenance); contracted services; and other support related to all levels of managerial staff functions and positions located above the direct program managerial and operational level of individual MWR programs. These resources support planning, organizing,</w:t>
            </w:r>
            <w:r w:rsidRPr="009E5EAC">
              <w:rPr>
                <w:rFonts w:ascii="Times New Roman" w:hAnsi="Times New Roman" w:cs="Times New Roman"/>
                <w:szCs w:val="24"/>
              </w:rPr>
              <w:t xml:space="preserve"> </w:t>
            </w:r>
            <w:r w:rsidRPr="009E5EAC">
              <w:rPr>
                <w:rFonts w:asciiTheme="minorHAnsi" w:hAnsiTheme="minorHAnsi" w:cs="Times New Roman"/>
                <w:b w:val="0"/>
                <w:bCs w:val="0"/>
                <w:szCs w:val="24"/>
              </w:rPr>
              <w:t>directing, coordinating, and controlling the overall operations of MWR programs. It consists of program, fiscal, logistical, and other managerial functions that are required to ensure oversight.</w:t>
            </w:r>
          </w:p>
        </w:tc>
        <w:tc>
          <w:tcPr>
            <w:tcW w:w="2880" w:type="dxa"/>
          </w:tcPr>
          <w:p w14:paraId="5250D1C1" w14:textId="77777777" w:rsidR="000E0DCA" w:rsidRPr="009E5EAC" w:rsidRDefault="000E0DCA" w:rsidP="000E0DCA">
            <w:pPr>
              <w:cnfStyle w:val="000000000000" w:firstRow="0" w:lastRow="0" w:firstColumn="0" w:lastColumn="0" w:oddVBand="0" w:evenVBand="0" w:oddHBand="0" w:evenHBand="0" w:firstRowFirstColumn="0" w:firstRowLastColumn="0" w:lastRowFirstColumn="0" w:lastRowLastColumn="0"/>
              <w:rPr>
                <w:sz w:val="20"/>
              </w:rPr>
            </w:pPr>
            <w:r w:rsidRPr="009E5EAC">
              <w:rPr>
                <w:rFonts w:asciiTheme="minorHAnsi" w:hAnsiTheme="minorHAnsi" w:cs="Times New Roman"/>
                <w:szCs w:val="24"/>
              </w:rPr>
              <w:t>Need more information.</w:t>
            </w:r>
          </w:p>
        </w:tc>
        <w:tc>
          <w:tcPr>
            <w:tcW w:w="2160" w:type="dxa"/>
            <w:gridSpan w:val="2"/>
          </w:tcPr>
          <w:p w14:paraId="018BB31B" w14:textId="77777777" w:rsidR="000E0DCA" w:rsidRPr="009E5EAC" w:rsidRDefault="000E0DCA" w:rsidP="000E0DCA">
            <w:pPr>
              <w:cnfStyle w:val="000000000000" w:firstRow="0" w:lastRow="0" w:firstColumn="0" w:lastColumn="0" w:oddVBand="0" w:evenVBand="0" w:oddHBand="0" w:evenHBand="0" w:firstRowFirstColumn="0" w:firstRowLastColumn="0" w:lastRowFirstColumn="0" w:lastRowLastColumn="0"/>
              <w:rPr>
                <w:sz w:val="20"/>
              </w:rPr>
            </w:pPr>
            <w:r w:rsidRPr="009E5EAC">
              <w:rPr>
                <w:szCs w:val="24"/>
              </w:rPr>
              <w:t>Need more information.</w:t>
            </w:r>
          </w:p>
        </w:tc>
        <w:tc>
          <w:tcPr>
            <w:tcW w:w="1890" w:type="dxa"/>
          </w:tcPr>
          <w:p w14:paraId="6762CC0D" w14:textId="77777777" w:rsidR="000E0DCA" w:rsidRPr="009E5EAC" w:rsidRDefault="000E0DCA" w:rsidP="000E0DCA">
            <w:pPr>
              <w:cnfStyle w:val="000000000000" w:firstRow="0" w:lastRow="0" w:firstColumn="0" w:lastColumn="0" w:oddVBand="0" w:evenVBand="0" w:oddHBand="0" w:evenHBand="0" w:firstRowFirstColumn="0" w:firstRowLastColumn="0" w:lastRowFirstColumn="0" w:lastRowLastColumn="0"/>
              <w:rPr>
                <w:sz w:val="20"/>
              </w:rPr>
            </w:pPr>
            <w:r w:rsidRPr="009E5EAC">
              <w:rPr>
                <w:szCs w:val="24"/>
              </w:rPr>
              <w:t>Need more information.</w:t>
            </w:r>
          </w:p>
        </w:tc>
        <w:tc>
          <w:tcPr>
            <w:tcW w:w="2036" w:type="dxa"/>
          </w:tcPr>
          <w:p w14:paraId="543B063C" w14:textId="77777777" w:rsidR="000E0DCA" w:rsidRPr="009E5EAC" w:rsidRDefault="000E0DCA" w:rsidP="000E0DCA">
            <w:pPr>
              <w:cnfStyle w:val="000000000000" w:firstRow="0" w:lastRow="0" w:firstColumn="0" w:lastColumn="0" w:oddVBand="0" w:evenVBand="0" w:oddHBand="0" w:evenHBand="0" w:firstRowFirstColumn="0" w:firstRowLastColumn="0" w:lastRowFirstColumn="0" w:lastRowLastColumn="0"/>
              <w:rPr>
                <w:sz w:val="20"/>
              </w:rPr>
            </w:pPr>
            <w:r w:rsidRPr="009E5EAC">
              <w:rPr>
                <w:szCs w:val="24"/>
              </w:rPr>
              <w:t>Need more information.</w:t>
            </w:r>
          </w:p>
        </w:tc>
      </w:tr>
      <w:tr w:rsidR="00BC2607" w:rsidRPr="009E5EAC" w14:paraId="4E18355D" w14:textId="77777777" w:rsidTr="00CD46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5FDB0EDA" w14:textId="209D0B51" w:rsidR="00BC2607" w:rsidRPr="009E5EAC" w:rsidRDefault="00BC2607" w:rsidP="00BC2607">
            <w:pPr>
              <w:rPr>
                <w:rFonts w:asciiTheme="minorHAnsi" w:hAnsiTheme="minorHAnsi" w:cs="Times New Roman"/>
                <w:szCs w:val="24"/>
              </w:rPr>
            </w:pPr>
            <w:r w:rsidRPr="009E5EAC">
              <w:rPr>
                <w:rFonts w:asciiTheme="minorHAnsi" w:hAnsiTheme="minorHAnsi" w:cs="Times New Roman"/>
                <w:szCs w:val="24"/>
              </w:rPr>
              <w:t xml:space="preserve">FMR Volume 13, Chapter </w:t>
            </w:r>
            <w:r w:rsidR="00583801" w:rsidRPr="009E5EAC">
              <w:rPr>
                <w:rFonts w:asciiTheme="minorHAnsi" w:hAnsiTheme="minorHAnsi" w:cs="Times New Roman"/>
                <w:szCs w:val="24"/>
              </w:rPr>
              <w:t>5</w:t>
            </w:r>
            <w:r w:rsidR="00926D4D" w:rsidRPr="009E5EAC">
              <w:rPr>
                <w:rFonts w:asciiTheme="minorHAnsi" w:hAnsiTheme="minorHAnsi" w:cs="Times New Roman"/>
                <w:szCs w:val="24"/>
              </w:rPr>
              <w:t>,</w:t>
            </w:r>
            <w:r w:rsidR="00583801" w:rsidRPr="009E5EAC">
              <w:rPr>
                <w:rFonts w:asciiTheme="minorHAnsi" w:hAnsiTheme="minorHAnsi" w:cs="Times New Roman"/>
                <w:szCs w:val="24"/>
              </w:rPr>
              <w:t xml:space="preserve"> 050601.AF.</w:t>
            </w:r>
            <w:r w:rsidRPr="009E5EAC">
              <w:rPr>
                <w:szCs w:val="24"/>
              </w:rPr>
              <w:t xml:space="preserve"> Administrative Common Support Service</w:t>
            </w:r>
            <w:r w:rsidR="00926D4D" w:rsidRPr="009E5EAC">
              <w:rPr>
                <w:szCs w:val="24"/>
              </w:rPr>
              <w:t xml:space="preserve"> (</w:t>
            </w:r>
            <w:r w:rsidR="00583801" w:rsidRPr="009E5EAC">
              <w:rPr>
                <w:szCs w:val="24"/>
              </w:rPr>
              <w:t>April</w:t>
            </w:r>
            <w:r w:rsidR="00926D4D" w:rsidRPr="009E5EAC">
              <w:rPr>
                <w:szCs w:val="24"/>
              </w:rPr>
              <w:t xml:space="preserve"> 201</w:t>
            </w:r>
            <w:r w:rsidR="00583801" w:rsidRPr="009E5EAC">
              <w:rPr>
                <w:szCs w:val="24"/>
              </w:rPr>
              <w:t>3</w:t>
            </w:r>
            <w:r w:rsidR="00926D4D" w:rsidRPr="009E5EAC">
              <w:rPr>
                <w:szCs w:val="24"/>
              </w:rPr>
              <w:t>)</w:t>
            </w:r>
            <w:r w:rsidR="00583801" w:rsidRPr="009E5EAC">
              <w:rPr>
                <w:szCs w:val="24"/>
              </w:rPr>
              <w:t>:</w:t>
            </w:r>
          </w:p>
          <w:p w14:paraId="2B6CF126" w14:textId="43F395A5" w:rsidR="00BC2607" w:rsidRPr="009E5EAC" w:rsidRDefault="00BC2607" w:rsidP="000E0DCA">
            <w:pPr>
              <w:rPr>
                <w:b w:val="0"/>
                <w:szCs w:val="24"/>
              </w:rPr>
            </w:pPr>
            <w:r w:rsidRPr="009E5EAC">
              <w:rPr>
                <w:b w:val="0"/>
                <w:szCs w:val="24"/>
              </w:rPr>
              <w:t>This general ledger account is for recording the amount paid for support services, such as, accounting, payroll, civilian personnel, procurement, data processing, and administrative.</w:t>
            </w:r>
          </w:p>
        </w:tc>
        <w:tc>
          <w:tcPr>
            <w:tcW w:w="2880" w:type="dxa"/>
          </w:tcPr>
          <w:p w14:paraId="0D6C0CA9" w14:textId="77777777" w:rsidR="00BC2607" w:rsidRPr="009E5EAC" w:rsidRDefault="00CD4636" w:rsidP="000E0DCA">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4"/>
              </w:rPr>
            </w:pPr>
            <w:r w:rsidRPr="009E5EAC">
              <w:rPr>
                <w:rFonts w:asciiTheme="minorHAnsi" w:hAnsiTheme="minorHAnsi" w:cs="Times New Roman"/>
                <w:szCs w:val="24"/>
              </w:rPr>
              <w:t>Need more information</w:t>
            </w:r>
          </w:p>
        </w:tc>
        <w:tc>
          <w:tcPr>
            <w:tcW w:w="2160" w:type="dxa"/>
            <w:gridSpan w:val="2"/>
          </w:tcPr>
          <w:p w14:paraId="052E584F" w14:textId="77777777" w:rsidR="00BC2607" w:rsidRPr="009E5EAC" w:rsidRDefault="00EF5DB8"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Need more information</w:t>
            </w:r>
          </w:p>
        </w:tc>
        <w:tc>
          <w:tcPr>
            <w:tcW w:w="1890" w:type="dxa"/>
          </w:tcPr>
          <w:p w14:paraId="5DFE88EB" w14:textId="77777777" w:rsidR="00BC2607" w:rsidRPr="009E5EAC" w:rsidRDefault="00EF5DB8"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 xml:space="preserve">Need more information. </w:t>
            </w:r>
          </w:p>
        </w:tc>
        <w:tc>
          <w:tcPr>
            <w:tcW w:w="2036" w:type="dxa"/>
          </w:tcPr>
          <w:p w14:paraId="08D77E62" w14:textId="77777777" w:rsidR="00BC2607" w:rsidRPr="009E5EAC" w:rsidRDefault="00EF5DB8"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szCs w:val="24"/>
              </w:rPr>
              <w:t xml:space="preserve">Need more information. </w:t>
            </w:r>
          </w:p>
        </w:tc>
      </w:tr>
      <w:tr w:rsidR="00C53E47" w:rsidRPr="009E5EAC" w14:paraId="0E3E6488" w14:textId="77777777" w:rsidTr="00CD4636">
        <w:tc>
          <w:tcPr>
            <w:cnfStyle w:val="001000000000" w:firstRow="0" w:lastRow="0" w:firstColumn="1" w:lastColumn="0" w:oddVBand="0" w:evenVBand="0" w:oddHBand="0" w:evenHBand="0" w:firstRowFirstColumn="0" w:firstRowLastColumn="0" w:lastRowFirstColumn="0" w:lastRowLastColumn="0"/>
            <w:tcW w:w="6115" w:type="dxa"/>
          </w:tcPr>
          <w:p w14:paraId="11C420BB" w14:textId="77777777" w:rsidR="00C53E47" w:rsidRPr="009E5EAC" w:rsidRDefault="00C53E47" w:rsidP="00BC2607">
            <w:pPr>
              <w:rPr>
                <w:rFonts w:asciiTheme="minorHAnsi" w:hAnsiTheme="minorHAnsi" w:cs="Times New Roman"/>
                <w:b w:val="0"/>
                <w:szCs w:val="24"/>
              </w:rPr>
            </w:pPr>
            <w:r w:rsidRPr="009E5EAC">
              <w:rPr>
                <w:rFonts w:asciiTheme="minorHAnsi" w:hAnsiTheme="minorHAnsi" w:cs="Times New Roman"/>
                <w:szCs w:val="24"/>
              </w:rPr>
              <w:t>DoDI 1015.15, Enclosure 2 (</w:t>
            </w:r>
            <w:proofErr w:type="spellStart"/>
            <w:r w:rsidRPr="009E5EAC">
              <w:rPr>
                <w:rFonts w:asciiTheme="minorHAnsi" w:hAnsiTheme="minorHAnsi" w:cs="Times New Roman"/>
                <w:szCs w:val="24"/>
              </w:rPr>
              <w:t>Defintions</w:t>
            </w:r>
            <w:proofErr w:type="spellEnd"/>
            <w:r w:rsidRPr="009E5EAC">
              <w:rPr>
                <w:rFonts w:asciiTheme="minorHAnsi" w:hAnsiTheme="minorHAnsi" w:cs="Times New Roman"/>
                <w:szCs w:val="24"/>
              </w:rPr>
              <w:t xml:space="preserve">), E2.2. Common Support: </w:t>
            </w:r>
            <w:r w:rsidRPr="009E5EAC">
              <w:rPr>
                <w:szCs w:val="24"/>
              </w:rPr>
              <w:t xml:space="preserve"> </w:t>
            </w:r>
            <w:r w:rsidRPr="009E5EAC">
              <w:rPr>
                <w:b w:val="0"/>
                <w:szCs w:val="24"/>
              </w:rPr>
              <w:t xml:space="preserve">APF and NAF support used to perform the general management or administration of more than one Program Group or funding category within a Program Group at installation, major command, or Service headquarters level, and that is not easily or </w:t>
            </w:r>
            <w:r w:rsidRPr="009E5EAC">
              <w:rPr>
                <w:b w:val="0"/>
                <w:szCs w:val="24"/>
              </w:rPr>
              <w:lastRenderedPageBreak/>
              <w:t>readily identifiable to a specific program.  Common support does not include services performed by Program Group VI NAFIs.  Examples of common support are central financial management and civilian personnel office functions; executive control and essential command supervision (</w:t>
            </w:r>
            <w:proofErr w:type="spellStart"/>
            <w:r w:rsidRPr="009E5EAC">
              <w:rPr>
                <w:b w:val="0"/>
                <w:szCs w:val="24"/>
              </w:rPr>
              <w:t>ECECS</w:t>
            </w:r>
            <w:proofErr w:type="spellEnd"/>
            <w:r w:rsidRPr="009E5EAC">
              <w:rPr>
                <w:b w:val="0"/>
                <w:szCs w:val="24"/>
              </w:rPr>
              <w:t>) functions; common warehousing, marketing, or maintenance functions; and central accounting and payroll, information system, and procurement processing functions.</w:t>
            </w:r>
          </w:p>
        </w:tc>
        <w:tc>
          <w:tcPr>
            <w:tcW w:w="2880" w:type="dxa"/>
          </w:tcPr>
          <w:p w14:paraId="2C2867A6" w14:textId="77777777" w:rsidR="00C53E47" w:rsidRPr="009E5EAC" w:rsidRDefault="00C53E47" w:rsidP="000E0DCA">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4"/>
              </w:rPr>
            </w:pPr>
            <w:r w:rsidRPr="009E5EAC">
              <w:rPr>
                <w:rFonts w:asciiTheme="minorHAnsi" w:hAnsiTheme="minorHAnsi" w:cs="Times New Roman"/>
                <w:szCs w:val="24"/>
              </w:rPr>
              <w:lastRenderedPageBreak/>
              <w:t>Need more information</w:t>
            </w:r>
          </w:p>
        </w:tc>
        <w:tc>
          <w:tcPr>
            <w:tcW w:w="2160" w:type="dxa"/>
            <w:gridSpan w:val="2"/>
          </w:tcPr>
          <w:p w14:paraId="251D0A3F" w14:textId="77777777" w:rsidR="00C53E47" w:rsidRPr="009E5EAC" w:rsidRDefault="00C53E47" w:rsidP="000E0DCA">
            <w:pPr>
              <w:cnfStyle w:val="000000000000" w:firstRow="0" w:lastRow="0" w:firstColumn="0" w:lastColumn="0" w:oddVBand="0" w:evenVBand="0" w:oddHBand="0" w:evenHBand="0" w:firstRowFirstColumn="0" w:firstRowLastColumn="0" w:lastRowFirstColumn="0" w:lastRowLastColumn="0"/>
              <w:rPr>
                <w:szCs w:val="24"/>
              </w:rPr>
            </w:pPr>
            <w:r w:rsidRPr="009E5EAC">
              <w:rPr>
                <w:szCs w:val="24"/>
              </w:rPr>
              <w:t>Need more information</w:t>
            </w:r>
          </w:p>
        </w:tc>
        <w:tc>
          <w:tcPr>
            <w:tcW w:w="1890" w:type="dxa"/>
          </w:tcPr>
          <w:p w14:paraId="661EDC8A" w14:textId="77777777" w:rsidR="00C53E47" w:rsidRPr="009E5EAC" w:rsidRDefault="00C53E47" w:rsidP="000E0DCA">
            <w:pPr>
              <w:cnfStyle w:val="000000000000" w:firstRow="0" w:lastRow="0" w:firstColumn="0" w:lastColumn="0" w:oddVBand="0" w:evenVBand="0" w:oddHBand="0" w:evenHBand="0" w:firstRowFirstColumn="0" w:firstRowLastColumn="0" w:lastRowFirstColumn="0" w:lastRowLastColumn="0"/>
              <w:rPr>
                <w:szCs w:val="24"/>
              </w:rPr>
            </w:pPr>
            <w:r w:rsidRPr="009E5EAC">
              <w:rPr>
                <w:szCs w:val="24"/>
              </w:rPr>
              <w:t>Need more information</w:t>
            </w:r>
          </w:p>
        </w:tc>
        <w:tc>
          <w:tcPr>
            <w:tcW w:w="2036" w:type="dxa"/>
          </w:tcPr>
          <w:p w14:paraId="48FF892D" w14:textId="77777777" w:rsidR="00C53E47" w:rsidRPr="009E5EAC" w:rsidRDefault="00C53E47" w:rsidP="000E0DCA">
            <w:pPr>
              <w:cnfStyle w:val="000000000000" w:firstRow="0" w:lastRow="0" w:firstColumn="0" w:lastColumn="0" w:oddVBand="0" w:evenVBand="0" w:oddHBand="0" w:evenHBand="0" w:firstRowFirstColumn="0" w:firstRowLastColumn="0" w:lastRowFirstColumn="0" w:lastRowLastColumn="0"/>
              <w:rPr>
                <w:szCs w:val="24"/>
              </w:rPr>
            </w:pPr>
            <w:r w:rsidRPr="009E5EAC">
              <w:rPr>
                <w:szCs w:val="24"/>
              </w:rPr>
              <w:t>Need more information</w:t>
            </w:r>
          </w:p>
        </w:tc>
      </w:tr>
      <w:tr w:rsidR="007B41B3" w:rsidRPr="009E5EAC" w14:paraId="0382B113" w14:textId="77777777" w:rsidTr="00CD46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0AA37F70" w14:textId="77777777" w:rsidR="007B41B3" w:rsidRPr="009E5EAC" w:rsidRDefault="007B41B3" w:rsidP="00BC2607">
            <w:pPr>
              <w:rPr>
                <w:rFonts w:asciiTheme="minorHAnsi" w:hAnsiTheme="minorHAnsi" w:cs="Times New Roman"/>
                <w:szCs w:val="24"/>
              </w:rPr>
            </w:pPr>
            <w:r w:rsidRPr="009E5EAC">
              <w:rPr>
                <w:rFonts w:asciiTheme="minorHAnsi" w:hAnsiTheme="minorHAnsi" w:cs="Times New Roman"/>
                <w:szCs w:val="24"/>
              </w:rPr>
              <w:t xml:space="preserve">Industry: </w:t>
            </w:r>
            <w:r w:rsidRPr="009E5EAC">
              <w:rPr>
                <w:rFonts w:asciiTheme="minorHAnsi" w:hAnsiTheme="minorHAnsi" w:cs="Times New Roman"/>
                <w:b w:val="0"/>
                <w:szCs w:val="24"/>
              </w:rPr>
              <w:t xml:space="preserve">Some of the costs included within overhead include accounting costs, legal fees, administrative salaries, insurance, rent, and utilities. </w:t>
            </w:r>
            <w:r w:rsidRPr="009E5EAC">
              <w:rPr>
                <w:rFonts w:asciiTheme="minorHAnsi" w:hAnsiTheme="minorHAnsi" w:cs="Times New Roman"/>
                <w:szCs w:val="24"/>
              </w:rPr>
              <w:t xml:space="preserve"> </w:t>
            </w:r>
          </w:p>
        </w:tc>
        <w:tc>
          <w:tcPr>
            <w:tcW w:w="2880" w:type="dxa"/>
          </w:tcPr>
          <w:p w14:paraId="3D5CB0D9" w14:textId="77777777" w:rsidR="007B41B3" w:rsidRPr="009E5EAC" w:rsidRDefault="007B41B3" w:rsidP="000E0DCA">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4"/>
              </w:rPr>
            </w:pPr>
            <w:r w:rsidRPr="009E5EAC">
              <w:rPr>
                <w:rFonts w:asciiTheme="minorHAnsi" w:hAnsiTheme="minorHAnsi" w:cs="Times New Roman"/>
                <w:szCs w:val="24"/>
              </w:rPr>
              <w:t>Need more information.</w:t>
            </w:r>
          </w:p>
        </w:tc>
        <w:tc>
          <w:tcPr>
            <w:tcW w:w="2160" w:type="dxa"/>
            <w:gridSpan w:val="2"/>
          </w:tcPr>
          <w:p w14:paraId="27F94169" w14:textId="77777777" w:rsidR="007B41B3" w:rsidRPr="009E5EAC" w:rsidRDefault="007B41B3"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rFonts w:asciiTheme="minorHAnsi" w:hAnsiTheme="minorHAnsi" w:cs="Times New Roman"/>
                <w:szCs w:val="24"/>
              </w:rPr>
              <w:t>Need more information.</w:t>
            </w:r>
          </w:p>
        </w:tc>
        <w:tc>
          <w:tcPr>
            <w:tcW w:w="1890" w:type="dxa"/>
          </w:tcPr>
          <w:p w14:paraId="204F250D" w14:textId="77777777" w:rsidR="007B41B3" w:rsidRPr="009E5EAC" w:rsidRDefault="007B41B3"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rFonts w:asciiTheme="minorHAnsi" w:hAnsiTheme="minorHAnsi" w:cs="Times New Roman"/>
                <w:szCs w:val="24"/>
              </w:rPr>
              <w:t>Need more information.</w:t>
            </w:r>
          </w:p>
        </w:tc>
        <w:tc>
          <w:tcPr>
            <w:tcW w:w="2036" w:type="dxa"/>
          </w:tcPr>
          <w:p w14:paraId="174D1747" w14:textId="77777777" w:rsidR="007B41B3" w:rsidRPr="009E5EAC" w:rsidRDefault="007B41B3" w:rsidP="000E0DCA">
            <w:pPr>
              <w:cnfStyle w:val="000000100000" w:firstRow="0" w:lastRow="0" w:firstColumn="0" w:lastColumn="0" w:oddVBand="0" w:evenVBand="0" w:oddHBand="1" w:evenHBand="0" w:firstRowFirstColumn="0" w:firstRowLastColumn="0" w:lastRowFirstColumn="0" w:lastRowLastColumn="0"/>
              <w:rPr>
                <w:szCs w:val="24"/>
              </w:rPr>
            </w:pPr>
            <w:r w:rsidRPr="009E5EAC">
              <w:rPr>
                <w:rFonts w:asciiTheme="minorHAnsi" w:hAnsiTheme="minorHAnsi" w:cs="Times New Roman"/>
                <w:szCs w:val="24"/>
              </w:rPr>
              <w:t>Need more information.</w:t>
            </w:r>
          </w:p>
        </w:tc>
      </w:tr>
    </w:tbl>
    <w:p w14:paraId="47CFD4CF" w14:textId="77777777" w:rsidR="00515008" w:rsidRPr="009E5EAC" w:rsidRDefault="00515008" w:rsidP="004A2852">
      <w:pPr>
        <w:pStyle w:val="Heading1"/>
        <w:tabs>
          <w:tab w:val="left" w:pos="6675"/>
        </w:tabs>
        <w:ind w:left="-2160" w:firstLine="180"/>
        <w:rPr>
          <w:sz w:val="22"/>
        </w:rPr>
      </w:pPr>
    </w:p>
    <w:p w14:paraId="0B23D7CD" w14:textId="77777777" w:rsidR="000E0DCA" w:rsidRPr="009E5EAC" w:rsidRDefault="000E0DCA" w:rsidP="000E0DCA">
      <w:pPr>
        <w:pStyle w:val="BodyText"/>
        <w:rPr>
          <w:sz w:val="20"/>
        </w:rPr>
      </w:pPr>
    </w:p>
    <w:p w14:paraId="791A9BB3" w14:textId="77777777" w:rsidR="00D66796" w:rsidRPr="009E5EAC" w:rsidRDefault="0084460E" w:rsidP="00E2020D">
      <w:pPr>
        <w:pStyle w:val="Heading1"/>
        <w:tabs>
          <w:tab w:val="left" w:pos="6675"/>
        </w:tabs>
        <w:ind w:left="-2160" w:firstLine="180"/>
        <w:rPr>
          <w:rFonts w:ascii="Garamond" w:hAnsi="Garamond"/>
          <w:bCs w:val="0"/>
          <w:color w:val="auto"/>
          <w:kern w:val="0"/>
          <w:sz w:val="22"/>
          <w:szCs w:val="20"/>
        </w:rPr>
      </w:pPr>
      <w:r w:rsidRPr="009E5EAC">
        <w:rPr>
          <w:sz w:val="22"/>
        </w:rPr>
        <w:t>Discussion</w:t>
      </w:r>
      <w:r w:rsidR="004A2852" w:rsidRPr="009E5EAC">
        <w:rPr>
          <w:sz w:val="22"/>
        </w:rPr>
        <w:t xml:space="preserve"> </w:t>
      </w:r>
      <w:r w:rsidR="004A2852" w:rsidRPr="009E5EAC">
        <w:rPr>
          <w:rFonts w:ascii="Garamond" w:hAnsi="Garamond"/>
          <w:bCs w:val="0"/>
          <w:color w:val="auto"/>
          <w:kern w:val="0"/>
          <w:sz w:val="22"/>
          <w:szCs w:val="20"/>
        </w:rPr>
        <w:t xml:space="preserve"> </w:t>
      </w:r>
    </w:p>
    <w:p w14:paraId="0CD42621" w14:textId="77777777" w:rsidR="00E2020D" w:rsidRPr="009E5EAC" w:rsidRDefault="00E2020D" w:rsidP="00E2020D"/>
    <w:p w14:paraId="41C77C75" w14:textId="77777777" w:rsidR="00E2020D" w:rsidRPr="009E5EAC" w:rsidRDefault="00E2020D" w:rsidP="00E2020D">
      <w:pPr>
        <w:ind w:left="-864"/>
      </w:pPr>
      <w:r w:rsidRPr="009E5EAC">
        <w:t xml:space="preserve">Overhead/ </w:t>
      </w:r>
      <w:r w:rsidR="00C53E47" w:rsidRPr="009E5EAC">
        <w:t>c</w:t>
      </w:r>
      <w:r w:rsidRPr="009E5EAC">
        <w:t xml:space="preserve">ommon </w:t>
      </w:r>
      <w:proofErr w:type="gramStart"/>
      <w:r w:rsidR="00C53E47" w:rsidRPr="009E5EAC">
        <w:t>s</w:t>
      </w:r>
      <w:r w:rsidRPr="009E5EAC">
        <w:t>upport  costs</w:t>
      </w:r>
      <w:proofErr w:type="gramEnd"/>
      <w:r w:rsidRPr="009E5EAC">
        <w:t xml:space="preserve"> are defined broadly as support services, such as, </w:t>
      </w:r>
      <w:proofErr w:type="spellStart"/>
      <w:r w:rsidRPr="009E5EAC">
        <w:t>accunting</w:t>
      </w:r>
      <w:proofErr w:type="spellEnd"/>
      <w:r w:rsidRPr="009E5EAC">
        <w:t xml:space="preserve">, payroll, civilian personnel, procurement, data processing, and administrative. Based on the information available, the Services appear to all share the same broad definitions of </w:t>
      </w:r>
      <w:r w:rsidR="00C53E47" w:rsidRPr="009E5EAC">
        <w:t>o</w:t>
      </w:r>
      <w:r w:rsidRPr="009E5EAC">
        <w:t xml:space="preserve">verhead/ </w:t>
      </w:r>
      <w:r w:rsidR="00C53E47" w:rsidRPr="009E5EAC">
        <w:t>c</w:t>
      </w:r>
      <w:r w:rsidRPr="009E5EAC">
        <w:t xml:space="preserve">ommon </w:t>
      </w:r>
      <w:r w:rsidR="00C53E47" w:rsidRPr="009E5EAC">
        <w:t>s</w:t>
      </w:r>
      <w:r w:rsidRPr="009E5EAC">
        <w:t xml:space="preserve">upport  </w:t>
      </w:r>
      <w:r w:rsidR="00C53E47" w:rsidRPr="009E5EAC">
        <w:rPr>
          <w:szCs w:val="24"/>
        </w:rPr>
        <w:t>DoDI 1015.15 defines common support as central financial management and civilian personnel office functions; executive control and essential command supervision (</w:t>
      </w:r>
      <w:proofErr w:type="spellStart"/>
      <w:r w:rsidR="00C53E47" w:rsidRPr="009E5EAC">
        <w:rPr>
          <w:szCs w:val="24"/>
        </w:rPr>
        <w:t>ECECS</w:t>
      </w:r>
      <w:proofErr w:type="spellEnd"/>
      <w:r w:rsidR="00C53E47" w:rsidRPr="009E5EAC">
        <w:rPr>
          <w:szCs w:val="24"/>
        </w:rPr>
        <w:t>) functions; common warehousing, marketing, or maintenance functions; and central accounting and payroll, information system, and procurement processing functions</w:t>
      </w:r>
      <w:r w:rsidR="00C53E47" w:rsidRPr="009E5EAC">
        <w:rPr>
          <w:sz w:val="20"/>
        </w:rPr>
        <w:t xml:space="preserve">.  </w:t>
      </w:r>
      <w:r w:rsidR="007F5873" w:rsidRPr="009E5EAC">
        <w:t xml:space="preserve">  Overhead/common support should be separated by direct and indirect costs to match the APF separation in the OP-34 budget exhibit “Quality of Life.”</w:t>
      </w:r>
      <w:r w:rsidR="00EF5DB8" w:rsidRPr="009E5EAC">
        <w:t xml:space="preserve"> </w:t>
      </w:r>
      <w:r w:rsidRPr="009E5EAC">
        <w:t xml:space="preserve"> </w:t>
      </w:r>
    </w:p>
    <w:p w14:paraId="1CFE5E63" w14:textId="77777777" w:rsidR="00E2020D" w:rsidRPr="009E5EAC" w:rsidRDefault="00E2020D" w:rsidP="00D66796">
      <w:pPr>
        <w:ind w:left="-1260"/>
      </w:pPr>
    </w:p>
    <w:p w14:paraId="6577B32F" w14:textId="77777777" w:rsidR="004F4DAE" w:rsidRPr="009E5EAC" w:rsidRDefault="004F4DAE" w:rsidP="000E0DCA">
      <w:pPr>
        <w:ind w:left="-1260"/>
      </w:pPr>
    </w:p>
    <w:p w14:paraId="3C220D42" w14:textId="77777777" w:rsidR="00E2020D" w:rsidRPr="009E5EAC" w:rsidRDefault="000928D9" w:rsidP="00E2020D">
      <w:pPr>
        <w:pStyle w:val="Heading1"/>
        <w:tabs>
          <w:tab w:val="left" w:pos="6675"/>
        </w:tabs>
        <w:ind w:left="-2160" w:firstLine="180"/>
        <w:rPr>
          <w:sz w:val="22"/>
        </w:rPr>
      </w:pPr>
      <w:r w:rsidRPr="009E5EAC">
        <w:rPr>
          <w:rFonts w:ascii="Garamond" w:hAnsi="Garamond"/>
          <w:sz w:val="18"/>
        </w:rPr>
        <w:t>.</w:t>
      </w:r>
      <w:r w:rsidR="009E448C" w:rsidRPr="009E5EAC">
        <w:rPr>
          <w:sz w:val="22"/>
        </w:rPr>
        <w:t>Recommendation</w:t>
      </w:r>
    </w:p>
    <w:p w14:paraId="01636822" w14:textId="77777777" w:rsidR="00E2020D" w:rsidRPr="009E5EAC" w:rsidRDefault="00E2020D" w:rsidP="00E2020D">
      <w:pPr>
        <w:pStyle w:val="ListParagraph"/>
        <w:ind w:left="-900"/>
        <w:rPr>
          <w:sz w:val="24"/>
        </w:rPr>
      </w:pPr>
    </w:p>
    <w:p w14:paraId="5D9E9AF2" w14:textId="77777777" w:rsidR="0069504B" w:rsidRPr="009E5EAC" w:rsidRDefault="00E2020D" w:rsidP="0069504B">
      <w:pPr>
        <w:pStyle w:val="ListParagraph"/>
        <w:ind w:left="-900"/>
        <w:rPr>
          <w:szCs w:val="24"/>
        </w:rPr>
      </w:pPr>
      <w:r w:rsidRPr="009E5EAC">
        <w:rPr>
          <w:szCs w:val="24"/>
        </w:rPr>
        <w:t xml:space="preserve">We recommend </w:t>
      </w:r>
      <w:r w:rsidR="0069504B" w:rsidRPr="009E5EAC">
        <w:rPr>
          <w:szCs w:val="24"/>
        </w:rPr>
        <w:t xml:space="preserve">using the definition in the OP-34 budget exhibit “Quality of Life” as a basis to </w:t>
      </w:r>
      <w:r w:rsidR="00442C2C" w:rsidRPr="009E5EAC">
        <w:rPr>
          <w:szCs w:val="24"/>
        </w:rPr>
        <w:t>replace the definition of</w:t>
      </w:r>
      <w:r w:rsidR="0069504B" w:rsidRPr="009E5EAC">
        <w:rPr>
          <w:szCs w:val="24"/>
        </w:rPr>
        <w:t xml:space="preserve"> overhead/common support costs</w:t>
      </w:r>
      <w:r w:rsidR="00442C2C" w:rsidRPr="009E5EAC">
        <w:rPr>
          <w:szCs w:val="24"/>
        </w:rPr>
        <w:t xml:space="preserve"> in DoDI 1015.15</w:t>
      </w:r>
      <w:r w:rsidR="0069504B" w:rsidRPr="009E5EAC">
        <w:rPr>
          <w:szCs w:val="24"/>
        </w:rPr>
        <w:t xml:space="preserve">.  </w:t>
      </w:r>
    </w:p>
    <w:p w14:paraId="28AB1168" w14:textId="77777777" w:rsidR="0069504B" w:rsidRPr="009E5EAC" w:rsidRDefault="0069504B" w:rsidP="0069504B">
      <w:pPr>
        <w:pStyle w:val="ListParagraph"/>
        <w:ind w:left="-900"/>
        <w:rPr>
          <w:szCs w:val="24"/>
        </w:rPr>
      </w:pPr>
    </w:p>
    <w:p w14:paraId="45C77967" w14:textId="77777777" w:rsidR="005F00F2" w:rsidRPr="009E5EAC" w:rsidRDefault="00323A26" w:rsidP="0069504B">
      <w:pPr>
        <w:pStyle w:val="ListParagraph"/>
        <w:ind w:left="-900"/>
        <w:rPr>
          <w:rFonts w:asciiTheme="minorHAnsi" w:hAnsiTheme="minorHAnsi" w:cs="Times New Roman"/>
          <w:szCs w:val="24"/>
        </w:rPr>
      </w:pPr>
      <w:r w:rsidRPr="009E5EAC">
        <w:rPr>
          <w:rFonts w:asciiTheme="minorHAnsi" w:hAnsiTheme="minorHAnsi" w:cs="Times New Roman"/>
          <w:szCs w:val="24"/>
        </w:rPr>
        <w:t>“</w:t>
      </w:r>
      <w:r w:rsidR="0069504B" w:rsidRPr="009E5EAC">
        <w:rPr>
          <w:rFonts w:asciiTheme="minorHAnsi" w:hAnsiTheme="minorHAnsi" w:cs="Times New Roman"/>
          <w:szCs w:val="24"/>
        </w:rPr>
        <w:t>At installation and headquarters, overhead</w:t>
      </w:r>
      <w:r w:rsidR="005F00F2" w:rsidRPr="009E5EAC">
        <w:rPr>
          <w:rFonts w:asciiTheme="minorHAnsi" w:hAnsiTheme="minorHAnsi" w:cs="Times New Roman"/>
          <w:szCs w:val="24"/>
        </w:rPr>
        <w:t>/com</w:t>
      </w:r>
      <w:r w:rsidR="0069504B" w:rsidRPr="009E5EAC">
        <w:rPr>
          <w:rFonts w:asciiTheme="minorHAnsi" w:hAnsiTheme="minorHAnsi" w:cs="Times New Roman"/>
          <w:szCs w:val="24"/>
        </w:rPr>
        <w:t xml:space="preserve">mon support is appropriated fund and nonappropriated fund direct and indirect costs that are attributable to more than one MWR program and are associated with the general management or administrative support of MWR programs and other NAF operations. </w:t>
      </w:r>
      <w:r w:rsidR="005F00F2" w:rsidRPr="009E5EAC">
        <w:rPr>
          <w:rFonts w:asciiTheme="minorHAnsi" w:hAnsiTheme="minorHAnsi" w:cs="Times New Roman"/>
          <w:szCs w:val="24"/>
        </w:rPr>
        <w:t>Costs that can be attributable to a program or activity should not be included in overhead.</w:t>
      </w:r>
    </w:p>
    <w:p w14:paraId="10894E38" w14:textId="77777777" w:rsidR="005F00F2" w:rsidRPr="009E5EAC" w:rsidRDefault="005F00F2" w:rsidP="0069504B">
      <w:pPr>
        <w:pStyle w:val="ListParagraph"/>
        <w:ind w:left="-900"/>
        <w:rPr>
          <w:rFonts w:asciiTheme="minorHAnsi" w:hAnsiTheme="minorHAnsi" w:cs="Times New Roman"/>
          <w:szCs w:val="24"/>
        </w:rPr>
      </w:pPr>
    </w:p>
    <w:p w14:paraId="7E8A8019" w14:textId="77777777" w:rsidR="005F00F2" w:rsidRPr="009E5EAC" w:rsidRDefault="0069504B" w:rsidP="0069504B">
      <w:pPr>
        <w:pStyle w:val="ListParagraph"/>
        <w:ind w:left="-900"/>
        <w:rPr>
          <w:rFonts w:asciiTheme="minorHAnsi" w:hAnsiTheme="minorHAnsi" w:cs="Times New Roman"/>
          <w:szCs w:val="24"/>
        </w:rPr>
      </w:pPr>
      <w:r w:rsidRPr="009E5EAC">
        <w:rPr>
          <w:rFonts w:asciiTheme="minorHAnsi" w:hAnsiTheme="minorHAnsi" w:cs="Times New Roman"/>
          <w:szCs w:val="24"/>
        </w:rPr>
        <w:lastRenderedPageBreak/>
        <w:t>Direct overhead/common support costs include military and civilian personnel including benefits; travel; training; supplies; equipment (includes rental and maintenance); contracted services; and other support related to all levels of managerial staff functions and positions located above the direct program managerial and operational le</w:t>
      </w:r>
      <w:r w:rsidR="005F00F2" w:rsidRPr="009E5EAC">
        <w:rPr>
          <w:rFonts w:asciiTheme="minorHAnsi" w:hAnsiTheme="minorHAnsi" w:cs="Times New Roman"/>
          <w:szCs w:val="24"/>
        </w:rPr>
        <w:t>vel of individual MWR programs.</w:t>
      </w:r>
    </w:p>
    <w:p w14:paraId="22614368" w14:textId="77777777" w:rsidR="005F00F2" w:rsidRPr="009E5EAC" w:rsidRDefault="005F00F2" w:rsidP="0069504B">
      <w:pPr>
        <w:pStyle w:val="ListParagraph"/>
        <w:ind w:left="-900"/>
        <w:rPr>
          <w:rFonts w:asciiTheme="minorHAnsi" w:hAnsiTheme="minorHAnsi" w:cs="Times New Roman"/>
          <w:szCs w:val="24"/>
        </w:rPr>
      </w:pPr>
    </w:p>
    <w:p w14:paraId="0863BE3B" w14:textId="77777777" w:rsidR="005F00F2" w:rsidRPr="009E5EAC" w:rsidRDefault="0069504B" w:rsidP="0069504B">
      <w:pPr>
        <w:pStyle w:val="ListParagraph"/>
        <w:ind w:left="-900"/>
        <w:rPr>
          <w:rFonts w:asciiTheme="minorHAnsi" w:hAnsiTheme="minorHAnsi" w:cs="Times New Roman"/>
          <w:szCs w:val="24"/>
        </w:rPr>
      </w:pPr>
      <w:r w:rsidRPr="009E5EAC">
        <w:rPr>
          <w:rFonts w:asciiTheme="minorHAnsi" w:hAnsiTheme="minorHAnsi" w:cs="Times New Roman"/>
          <w:szCs w:val="24"/>
        </w:rPr>
        <w:t xml:space="preserve">Indirect overhead/common support costs include rent, utilities, custodial, repair and maintenance, contracts, and engineering costs that are </w:t>
      </w:r>
      <w:proofErr w:type="spellStart"/>
      <w:r w:rsidRPr="009E5EAC">
        <w:rPr>
          <w:szCs w:val="24"/>
        </w:rPr>
        <w:t>are</w:t>
      </w:r>
      <w:proofErr w:type="spellEnd"/>
      <w:r w:rsidRPr="009E5EAC">
        <w:rPr>
          <w:szCs w:val="24"/>
        </w:rPr>
        <w:t xml:space="preserve"> budgeted and executed by a non-MWR or other NAF activity that supports installation-wide services</w:t>
      </w:r>
      <w:r w:rsidRPr="009E5EAC">
        <w:rPr>
          <w:rFonts w:asciiTheme="minorHAnsi" w:hAnsiTheme="minorHAnsi" w:cs="Times New Roman"/>
          <w:szCs w:val="24"/>
        </w:rPr>
        <w:t>.</w:t>
      </w:r>
      <w:r w:rsidR="00323A26" w:rsidRPr="009E5EAC">
        <w:rPr>
          <w:rFonts w:asciiTheme="minorHAnsi" w:hAnsiTheme="minorHAnsi" w:cs="Times New Roman"/>
          <w:szCs w:val="24"/>
        </w:rPr>
        <w:t>”</w:t>
      </w:r>
    </w:p>
    <w:p w14:paraId="7585A1EA" w14:textId="77777777" w:rsidR="005F00F2" w:rsidRPr="009E5EAC" w:rsidRDefault="005F00F2" w:rsidP="0069504B">
      <w:pPr>
        <w:pStyle w:val="ListParagraph"/>
        <w:ind w:left="-900"/>
        <w:rPr>
          <w:rFonts w:asciiTheme="minorHAnsi" w:hAnsiTheme="minorHAnsi" w:cs="Times New Roman"/>
          <w:szCs w:val="24"/>
        </w:rPr>
      </w:pPr>
    </w:p>
    <w:p w14:paraId="22A18EF6" w14:textId="77777777" w:rsidR="00E2020D" w:rsidRPr="009E5EAC" w:rsidRDefault="00E2020D" w:rsidP="00323A26">
      <w:pPr>
        <w:pStyle w:val="ListParagraph"/>
        <w:ind w:left="-900"/>
        <w:rPr>
          <w:rFonts w:asciiTheme="minorHAnsi" w:hAnsiTheme="minorHAnsi"/>
          <w:szCs w:val="24"/>
        </w:rPr>
      </w:pPr>
    </w:p>
    <w:p w14:paraId="2AF63E13" w14:textId="77777777" w:rsidR="00E95106" w:rsidRPr="009E5EAC" w:rsidRDefault="00E95106" w:rsidP="00E2020D">
      <w:pPr>
        <w:rPr>
          <w:rFonts w:asciiTheme="minorHAnsi" w:hAnsiTheme="minorHAnsi"/>
          <w:b/>
        </w:rPr>
      </w:pPr>
    </w:p>
    <w:p w14:paraId="43B8160D" w14:textId="77777777" w:rsidR="009E448C" w:rsidRPr="009E5EAC" w:rsidRDefault="009E448C" w:rsidP="00D93DFF">
      <w:pPr>
        <w:pStyle w:val="Heading1"/>
        <w:tabs>
          <w:tab w:val="left" w:pos="6675"/>
        </w:tabs>
        <w:ind w:left="-2160" w:firstLine="180"/>
        <w:rPr>
          <w:sz w:val="22"/>
        </w:rPr>
      </w:pPr>
      <w:r w:rsidRPr="009E5EAC">
        <w:rPr>
          <w:sz w:val="22"/>
        </w:rPr>
        <w:t>Service Concurrence</w:t>
      </w:r>
    </w:p>
    <w:tbl>
      <w:tblPr>
        <w:tblStyle w:val="TableGrid"/>
        <w:tblW w:w="0" w:type="auto"/>
        <w:tblInd w:w="-1173" w:type="dxa"/>
        <w:tblLook w:val="04A0" w:firstRow="1" w:lastRow="0" w:firstColumn="1" w:lastColumn="0" w:noHBand="0" w:noVBand="1"/>
      </w:tblPr>
      <w:tblGrid>
        <w:gridCol w:w="2065"/>
        <w:gridCol w:w="2973"/>
        <w:gridCol w:w="8370"/>
      </w:tblGrid>
      <w:tr w:rsidR="009E448C" w:rsidRPr="009E5EAC" w14:paraId="52698FF8" w14:textId="77777777" w:rsidTr="00462903">
        <w:tc>
          <w:tcPr>
            <w:tcW w:w="2065" w:type="dxa"/>
            <w:shd w:val="clear" w:color="auto" w:fill="A6A6A6" w:themeFill="background1" w:themeFillShade="A6"/>
          </w:tcPr>
          <w:p w14:paraId="0832BE94" w14:textId="77777777" w:rsidR="009E448C" w:rsidRPr="009E5EAC" w:rsidRDefault="009E448C" w:rsidP="009E448C">
            <w:pPr>
              <w:pStyle w:val="Heading1"/>
              <w:tabs>
                <w:tab w:val="left" w:pos="6675"/>
              </w:tabs>
              <w:jc w:val="center"/>
              <w:rPr>
                <w:rFonts w:asciiTheme="minorHAnsi" w:hAnsiTheme="minorHAnsi" w:cstheme="majorHAnsi"/>
                <w:color w:val="auto"/>
                <w:sz w:val="22"/>
              </w:rPr>
            </w:pPr>
            <w:r w:rsidRPr="009E5EAC">
              <w:rPr>
                <w:rFonts w:asciiTheme="minorHAnsi" w:hAnsiTheme="minorHAnsi" w:cstheme="majorHAnsi"/>
                <w:color w:val="auto"/>
                <w:sz w:val="22"/>
              </w:rPr>
              <w:t>Service</w:t>
            </w:r>
          </w:p>
        </w:tc>
        <w:tc>
          <w:tcPr>
            <w:tcW w:w="2973" w:type="dxa"/>
            <w:shd w:val="clear" w:color="auto" w:fill="A6A6A6" w:themeFill="background1" w:themeFillShade="A6"/>
          </w:tcPr>
          <w:p w14:paraId="1DC5DCAE" w14:textId="77777777" w:rsidR="009E448C" w:rsidRPr="009E5EAC" w:rsidRDefault="009E448C" w:rsidP="009E448C">
            <w:pPr>
              <w:pStyle w:val="Heading1"/>
              <w:tabs>
                <w:tab w:val="left" w:pos="6675"/>
              </w:tabs>
              <w:jc w:val="center"/>
              <w:rPr>
                <w:rFonts w:asciiTheme="minorHAnsi" w:hAnsiTheme="minorHAnsi" w:cstheme="majorHAnsi"/>
                <w:color w:val="auto"/>
                <w:sz w:val="22"/>
              </w:rPr>
            </w:pPr>
            <w:r w:rsidRPr="009E5EAC">
              <w:rPr>
                <w:rFonts w:asciiTheme="minorHAnsi" w:hAnsiTheme="minorHAnsi" w:cstheme="majorHAnsi"/>
                <w:color w:val="auto"/>
                <w:sz w:val="22"/>
              </w:rPr>
              <w:t>Concurrence</w:t>
            </w:r>
          </w:p>
        </w:tc>
        <w:tc>
          <w:tcPr>
            <w:tcW w:w="8370" w:type="dxa"/>
            <w:shd w:val="clear" w:color="auto" w:fill="A6A6A6" w:themeFill="background1" w:themeFillShade="A6"/>
          </w:tcPr>
          <w:p w14:paraId="4AAFB96E" w14:textId="77777777" w:rsidR="009E448C" w:rsidRPr="009E5EAC" w:rsidRDefault="009E448C" w:rsidP="00AC54D3">
            <w:pPr>
              <w:pStyle w:val="Heading1"/>
              <w:tabs>
                <w:tab w:val="left" w:pos="6675"/>
              </w:tabs>
              <w:jc w:val="center"/>
              <w:rPr>
                <w:rFonts w:asciiTheme="minorHAnsi" w:hAnsiTheme="minorHAnsi" w:cstheme="majorHAnsi"/>
                <w:color w:val="auto"/>
                <w:sz w:val="22"/>
              </w:rPr>
            </w:pPr>
            <w:r w:rsidRPr="009E5EAC">
              <w:rPr>
                <w:rFonts w:asciiTheme="minorHAnsi" w:hAnsiTheme="minorHAnsi" w:cstheme="majorHAnsi"/>
                <w:color w:val="auto"/>
                <w:sz w:val="22"/>
              </w:rPr>
              <w:t xml:space="preserve">Reason </w:t>
            </w:r>
            <w:r w:rsidR="00D93DFF" w:rsidRPr="009E5EAC">
              <w:rPr>
                <w:rFonts w:asciiTheme="minorHAnsi" w:hAnsiTheme="minorHAnsi" w:cstheme="majorHAnsi"/>
                <w:color w:val="auto"/>
                <w:sz w:val="22"/>
              </w:rPr>
              <w:t>for Non-concurrence</w:t>
            </w:r>
          </w:p>
        </w:tc>
      </w:tr>
      <w:tr w:rsidR="009E448C" w:rsidRPr="009E5EAC" w14:paraId="20D12786" w14:textId="77777777" w:rsidTr="00462903">
        <w:trPr>
          <w:trHeight w:val="462"/>
        </w:trPr>
        <w:tc>
          <w:tcPr>
            <w:tcW w:w="2065" w:type="dxa"/>
          </w:tcPr>
          <w:p w14:paraId="36C50339" w14:textId="77777777" w:rsidR="009E448C" w:rsidRPr="009E5EAC" w:rsidRDefault="009E448C"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Air Force</w:t>
            </w:r>
          </w:p>
        </w:tc>
        <w:tc>
          <w:tcPr>
            <w:tcW w:w="2973" w:type="dxa"/>
          </w:tcPr>
          <w:p w14:paraId="3F196B49" w14:textId="032695EB" w:rsidR="009E448C" w:rsidRPr="009E5EAC" w:rsidRDefault="00462903"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Concurrence on 6/21/2019.</w:t>
            </w:r>
          </w:p>
        </w:tc>
        <w:tc>
          <w:tcPr>
            <w:tcW w:w="8370" w:type="dxa"/>
          </w:tcPr>
          <w:p w14:paraId="4D35B798" w14:textId="77777777" w:rsidR="009E448C" w:rsidRPr="009E5EAC" w:rsidRDefault="009E448C" w:rsidP="004A2852">
            <w:pPr>
              <w:pStyle w:val="Heading1"/>
              <w:tabs>
                <w:tab w:val="left" w:pos="6675"/>
              </w:tabs>
              <w:rPr>
                <w:rFonts w:asciiTheme="minorHAnsi" w:hAnsiTheme="minorHAnsi" w:cstheme="majorHAnsi"/>
                <w:color w:val="auto"/>
                <w:sz w:val="22"/>
              </w:rPr>
            </w:pPr>
          </w:p>
        </w:tc>
      </w:tr>
      <w:tr w:rsidR="009E448C" w:rsidRPr="009E5EAC" w14:paraId="74D6F766" w14:textId="77777777" w:rsidTr="00462903">
        <w:trPr>
          <w:trHeight w:val="435"/>
        </w:trPr>
        <w:tc>
          <w:tcPr>
            <w:tcW w:w="2065" w:type="dxa"/>
          </w:tcPr>
          <w:p w14:paraId="12E60956" w14:textId="77777777" w:rsidR="009E448C" w:rsidRPr="009E5EAC" w:rsidRDefault="009E448C"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Army</w:t>
            </w:r>
          </w:p>
        </w:tc>
        <w:tc>
          <w:tcPr>
            <w:tcW w:w="2973" w:type="dxa"/>
          </w:tcPr>
          <w:p w14:paraId="1E00F0ED" w14:textId="7DC6A727" w:rsidR="009E448C" w:rsidRPr="009E5EAC" w:rsidRDefault="00462903"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Concurrence on 6/21/2019.</w:t>
            </w:r>
          </w:p>
        </w:tc>
        <w:tc>
          <w:tcPr>
            <w:tcW w:w="8370" w:type="dxa"/>
          </w:tcPr>
          <w:p w14:paraId="25276EEB" w14:textId="77777777" w:rsidR="009E448C" w:rsidRPr="009E5EAC" w:rsidRDefault="009E448C" w:rsidP="004A2852">
            <w:pPr>
              <w:pStyle w:val="Heading1"/>
              <w:tabs>
                <w:tab w:val="left" w:pos="6675"/>
              </w:tabs>
              <w:rPr>
                <w:rFonts w:asciiTheme="minorHAnsi" w:hAnsiTheme="minorHAnsi" w:cstheme="majorHAnsi"/>
                <w:color w:val="auto"/>
                <w:sz w:val="22"/>
              </w:rPr>
            </w:pPr>
          </w:p>
        </w:tc>
      </w:tr>
      <w:tr w:rsidR="009E448C" w:rsidRPr="009E5EAC" w14:paraId="113FB2B1" w14:textId="77777777" w:rsidTr="00462903">
        <w:trPr>
          <w:trHeight w:val="444"/>
        </w:trPr>
        <w:tc>
          <w:tcPr>
            <w:tcW w:w="2065" w:type="dxa"/>
          </w:tcPr>
          <w:p w14:paraId="75DDEF93" w14:textId="77777777" w:rsidR="009E448C" w:rsidRPr="009E5EAC" w:rsidRDefault="009E448C" w:rsidP="009E448C">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 xml:space="preserve">Marines </w:t>
            </w:r>
          </w:p>
        </w:tc>
        <w:tc>
          <w:tcPr>
            <w:tcW w:w="2973" w:type="dxa"/>
          </w:tcPr>
          <w:p w14:paraId="5E3CCD6A" w14:textId="7ACE8F73" w:rsidR="009E448C" w:rsidRPr="009E5EAC" w:rsidRDefault="00462903"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Concurrence on 6/21/2019.</w:t>
            </w:r>
          </w:p>
        </w:tc>
        <w:tc>
          <w:tcPr>
            <w:tcW w:w="8370" w:type="dxa"/>
          </w:tcPr>
          <w:p w14:paraId="5DA154D1" w14:textId="77777777" w:rsidR="009E448C" w:rsidRPr="009E5EAC" w:rsidRDefault="009E448C" w:rsidP="004A2852">
            <w:pPr>
              <w:pStyle w:val="Heading1"/>
              <w:tabs>
                <w:tab w:val="left" w:pos="6675"/>
              </w:tabs>
              <w:rPr>
                <w:rFonts w:asciiTheme="minorHAnsi" w:hAnsiTheme="minorHAnsi" w:cstheme="majorHAnsi"/>
                <w:color w:val="auto"/>
                <w:sz w:val="22"/>
              </w:rPr>
            </w:pPr>
          </w:p>
        </w:tc>
      </w:tr>
      <w:tr w:rsidR="009E448C" w:rsidRPr="009E5EAC" w14:paraId="120B791B" w14:textId="77777777" w:rsidTr="00462903">
        <w:trPr>
          <w:trHeight w:val="444"/>
        </w:trPr>
        <w:tc>
          <w:tcPr>
            <w:tcW w:w="2065" w:type="dxa"/>
          </w:tcPr>
          <w:p w14:paraId="53B6DED5" w14:textId="77777777" w:rsidR="009E448C" w:rsidRPr="009E5EAC" w:rsidRDefault="009E448C"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Navy</w:t>
            </w:r>
          </w:p>
        </w:tc>
        <w:tc>
          <w:tcPr>
            <w:tcW w:w="2973" w:type="dxa"/>
          </w:tcPr>
          <w:p w14:paraId="298F6381" w14:textId="5E519FB1" w:rsidR="009E448C" w:rsidRPr="009E5EAC" w:rsidRDefault="00462903" w:rsidP="004A2852">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Concurrence on 6/21/2019.</w:t>
            </w:r>
          </w:p>
        </w:tc>
        <w:tc>
          <w:tcPr>
            <w:tcW w:w="8370" w:type="dxa"/>
          </w:tcPr>
          <w:p w14:paraId="7CE90255" w14:textId="77777777" w:rsidR="009E448C" w:rsidRPr="009E5EAC" w:rsidRDefault="00AC54D3" w:rsidP="000028EC">
            <w:pPr>
              <w:pStyle w:val="Heading1"/>
              <w:tabs>
                <w:tab w:val="left" w:pos="6675"/>
              </w:tabs>
              <w:rPr>
                <w:rFonts w:asciiTheme="minorHAnsi" w:hAnsiTheme="minorHAnsi" w:cstheme="majorHAnsi"/>
                <w:color w:val="auto"/>
                <w:sz w:val="22"/>
              </w:rPr>
            </w:pPr>
            <w:r w:rsidRPr="009E5EAC">
              <w:rPr>
                <w:rFonts w:asciiTheme="minorHAnsi" w:hAnsiTheme="minorHAnsi" w:cstheme="majorHAnsi"/>
                <w:color w:val="auto"/>
                <w:sz w:val="22"/>
              </w:rPr>
              <w:t xml:space="preserve"> </w:t>
            </w:r>
          </w:p>
        </w:tc>
      </w:tr>
    </w:tbl>
    <w:p w14:paraId="5D31CEF5" w14:textId="77777777" w:rsidR="00515008" w:rsidRPr="009E5EAC" w:rsidRDefault="00515008" w:rsidP="001310A3">
      <w:pPr>
        <w:pStyle w:val="Heading1"/>
        <w:tabs>
          <w:tab w:val="left" w:pos="6675"/>
        </w:tabs>
        <w:ind w:left="-2160" w:firstLine="180"/>
        <w:rPr>
          <w:sz w:val="22"/>
        </w:rPr>
      </w:pPr>
    </w:p>
    <w:p w14:paraId="5ADD7826" w14:textId="77777777" w:rsidR="00D93DFF" w:rsidRPr="009E5EAC" w:rsidRDefault="00D93DFF" w:rsidP="00D93DFF">
      <w:pPr>
        <w:pStyle w:val="Heading1"/>
        <w:tabs>
          <w:tab w:val="left" w:pos="6675"/>
        </w:tabs>
        <w:ind w:left="-2160" w:firstLine="180"/>
        <w:rPr>
          <w:rFonts w:ascii="Garamond" w:hAnsi="Garamond"/>
          <w:bCs w:val="0"/>
          <w:color w:val="auto"/>
          <w:kern w:val="0"/>
          <w:sz w:val="22"/>
          <w:szCs w:val="20"/>
        </w:rPr>
      </w:pPr>
      <w:r w:rsidRPr="009E5EAC">
        <w:rPr>
          <w:sz w:val="22"/>
        </w:rPr>
        <w:t>USD (P&amp;R)</w:t>
      </w:r>
      <w:r w:rsidR="008402CA" w:rsidRPr="009E5EAC">
        <w:rPr>
          <w:sz w:val="22"/>
        </w:rPr>
        <w:t>/</w:t>
      </w:r>
      <w:r w:rsidRPr="009E5EAC">
        <w:rPr>
          <w:sz w:val="22"/>
        </w:rPr>
        <w:t>MC&amp;FP Disposition</w:t>
      </w:r>
    </w:p>
    <w:p w14:paraId="7D574043" w14:textId="77777777" w:rsidR="001310A3" w:rsidRPr="009E5EAC" w:rsidRDefault="001310A3" w:rsidP="001310A3">
      <w:pPr>
        <w:tabs>
          <w:tab w:val="left" w:pos="720"/>
          <w:tab w:val="left" w:pos="2160"/>
        </w:tabs>
        <w:ind w:left="-810"/>
      </w:pPr>
    </w:p>
    <w:p w14:paraId="51A4ED7E" w14:textId="22378B7D" w:rsidR="00462903" w:rsidRPr="009E5EAC" w:rsidRDefault="00462903" w:rsidP="00462903">
      <w:pPr>
        <w:pStyle w:val="ChapterTitle"/>
        <w:rPr>
          <w:rFonts w:asciiTheme="minorHAnsi" w:hAnsiTheme="minorHAnsi"/>
          <w:sz w:val="22"/>
        </w:rPr>
      </w:pPr>
      <w:r w:rsidRPr="009E5EAC">
        <w:rPr>
          <w:rFonts w:asciiTheme="minorHAnsi" w:hAnsiTheme="minorHAnsi"/>
          <w:sz w:val="22"/>
        </w:rPr>
        <w:t xml:space="preserve">Revise DoDI 1015.15. </w:t>
      </w:r>
    </w:p>
    <w:p w14:paraId="65988347" w14:textId="77777777" w:rsidR="001310A3" w:rsidRPr="009E5EAC" w:rsidRDefault="00D93DFF" w:rsidP="001310A3">
      <w:pPr>
        <w:pStyle w:val="Heading1"/>
        <w:tabs>
          <w:tab w:val="left" w:pos="6675"/>
        </w:tabs>
        <w:ind w:left="-2160" w:firstLine="180"/>
        <w:rPr>
          <w:rFonts w:ascii="Garamond" w:hAnsi="Garamond"/>
          <w:bCs w:val="0"/>
          <w:color w:val="auto"/>
          <w:kern w:val="0"/>
          <w:sz w:val="22"/>
          <w:szCs w:val="20"/>
        </w:rPr>
      </w:pPr>
      <w:r w:rsidRPr="009E5EAC">
        <w:rPr>
          <w:sz w:val="22"/>
        </w:rPr>
        <w:t>DFAS Disposition</w:t>
      </w:r>
    </w:p>
    <w:p w14:paraId="26F12A83" w14:textId="77777777" w:rsidR="001310A3" w:rsidRPr="009E5EAC" w:rsidRDefault="001310A3" w:rsidP="001310A3">
      <w:pPr>
        <w:ind w:left="-810"/>
      </w:pPr>
    </w:p>
    <w:p w14:paraId="78D4BABF" w14:textId="77777777" w:rsidR="00462903" w:rsidRPr="009E5EAC" w:rsidRDefault="00462903" w:rsidP="00462903">
      <w:pPr>
        <w:pStyle w:val="ChapterTitle"/>
        <w:rPr>
          <w:rFonts w:asciiTheme="minorHAnsi" w:hAnsiTheme="minorHAnsi"/>
          <w:b/>
          <w:color w:val="4F2D7F"/>
          <w:sz w:val="22"/>
        </w:rPr>
      </w:pPr>
      <w:r w:rsidRPr="009E5EAC">
        <w:rPr>
          <w:rFonts w:asciiTheme="minorHAnsi" w:hAnsiTheme="minorHAnsi"/>
          <w:sz w:val="22"/>
        </w:rPr>
        <w:t>No further action.</w:t>
      </w:r>
    </w:p>
    <w:p w14:paraId="3C882225" w14:textId="77777777" w:rsidR="00515008" w:rsidRPr="009E5EAC" w:rsidRDefault="00515008" w:rsidP="001310A3">
      <w:pPr>
        <w:pStyle w:val="Heading1"/>
        <w:tabs>
          <w:tab w:val="left" w:pos="6675"/>
        </w:tabs>
        <w:ind w:left="-2160" w:firstLine="180"/>
        <w:rPr>
          <w:sz w:val="22"/>
        </w:rPr>
      </w:pPr>
    </w:p>
    <w:p w14:paraId="4D92ADF9" w14:textId="77777777" w:rsidR="00D93DFF" w:rsidRPr="009E5EAC" w:rsidRDefault="001310A3" w:rsidP="00D93DFF">
      <w:pPr>
        <w:pStyle w:val="Heading1"/>
        <w:tabs>
          <w:tab w:val="left" w:pos="6675"/>
        </w:tabs>
        <w:ind w:left="-2160" w:firstLine="180"/>
        <w:rPr>
          <w:sz w:val="22"/>
        </w:rPr>
      </w:pPr>
      <w:r w:rsidRPr="009E5EAC">
        <w:rPr>
          <w:sz w:val="22"/>
        </w:rPr>
        <w:t xml:space="preserve">Forward to </w:t>
      </w:r>
      <w:proofErr w:type="spellStart"/>
      <w:r w:rsidRPr="009E5EAC">
        <w:rPr>
          <w:sz w:val="22"/>
        </w:rPr>
        <w:t>DoD</w:t>
      </w:r>
      <w:r w:rsidR="00114DA2" w:rsidRPr="009E5EAC">
        <w:rPr>
          <w:sz w:val="22"/>
        </w:rPr>
        <w:t>IG</w:t>
      </w:r>
      <w:proofErr w:type="spellEnd"/>
      <w:r w:rsidRPr="009E5EAC">
        <w:rPr>
          <w:sz w:val="22"/>
        </w:rPr>
        <w:t xml:space="preserve">?    </w:t>
      </w:r>
    </w:p>
    <w:p w14:paraId="0F28FCB5" w14:textId="77777777" w:rsidR="00D93DFF" w:rsidRPr="009E5EAC" w:rsidRDefault="00D93DFF" w:rsidP="00D93DFF">
      <w:pPr>
        <w:tabs>
          <w:tab w:val="left" w:pos="720"/>
          <w:tab w:val="left" w:pos="2160"/>
        </w:tabs>
        <w:ind w:left="-810"/>
      </w:pPr>
    </w:p>
    <w:p w14:paraId="67EFB84C" w14:textId="77777777" w:rsidR="00462903" w:rsidRPr="009E5EAC" w:rsidRDefault="00462903" w:rsidP="00462903">
      <w:pPr>
        <w:pStyle w:val="ChapterTitle"/>
        <w:rPr>
          <w:rFonts w:asciiTheme="minorHAnsi" w:hAnsiTheme="minorHAnsi"/>
          <w:sz w:val="22"/>
        </w:rPr>
      </w:pPr>
      <w:r w:rsidRPr="009E5EAC">
        <w:rPr>
          <w:rFonts w:asciiTheme="minorHAnsi" w:hAnsiTheme="minorHAnsi"/>
          <w:sz w:val="22"/>
        </w:rPr>
        <w:t xml:space="preserve">No </w:t>
      </w:r>
      <w:proofErr w:type="spellStart"/>
      <w:r w:rsidRPr="009E5EAC">
        <w:rPr>
          <w:rFonts w:asciiTheme="minorHAnsi" w:hAnsiTheme="minorHAnsi"/>
          <w:sz w:val="22"/>
        </w:rPr>
        <w:t>DoDIG</w:t>
      </w:r>
      <w:proofErr w:type="spellEnd"/>
      <w:r w:rsidRPr="009E5EAC">
        <w:rPr>
          <w:rFonts w:asciiTheme="minorHAnsi" w:hAnsiTheme="minorHAnsi"/>
          <w:sz w:val="22"/>
        </w:rPr>
        <w:t xml:space="preserve"> equities.</w:t>
      </w:r>
    </w:p>
    <w:p w14:paraId="0DF6D92C" w14:textId="77777777" w:rsidR="00D93DFF" w:rsidRPr="009E5EAC" w:rsidRDefault="00D93DFF" w:rsidP="00D93DFF">
      <w:pPr>
        <w:pStyle w:val="BodyText"/>
        <w:rPr>
          <w:sz w:val="20"/>
        </w:rPr>
      </w:pPr>
    </w:p>
    <w:sectPr w:rsidR="00D93DFF" w:rsidRPr="009E5EAC"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0F2D6" w14:textId="77777777" w:rsidR="00FD6AB4" w:rsidRDefault="00FD6AB4">
      <w:r>
        <w:separator/>
      </w:r>
    </w:p>
  </w:endnote>
  <w:endnote w:type="continuationSeparator" w:id="0">
    <w:p w14:paraId="05D0C1BB" w14:textId="77777777" w:rsidR="00FD6AB4" w:rsidRDefault="00FD6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4EE7568" w14:textId="5B783C3C" w:rsidR="001B6864" w:rsidRDefault="00834B9A" w:rsidP="001B6864">
        <w:pPr>
          <w:pStyle w:val="Footer"/>
          <w:jc w:val="right"/>
          <w:rPr>
            <w:noProof/>
          </w:rPr>
        </w:pPr>
        <w:r>
          <w:fldChar w:fldCharType="begin"/>
        </w:r>
        <w:r>
          <w:instrText xml:space="preserve"> PAGE   \* MERGEFORMAT </w:instrText>
        </w:r>
        <w:r>
          <w:fldChar w:fldCharType="separate"/>
        </w:r>
        <w:r w:rsidR="00953FE4">
          <w:rPr>
            <w:noProof/>
          </w:rPr>
          <w:t>3</w:t>
        </w:r>
        <w:r>
          <w:rPr>
            <w:noProof/>
          </w:rPr>
          <w:fldChar w:fldCharType="end"/>
        </w:r>
      </w:p>
      <w:p w14:paraId="0B1AF904" w14:textId="77777777" w:rsidR="00834B9A" w:rsidRDefault="00D93DFF" w:rsidP="00F55493">
        <w:pPr>
          <w:pStyle w:val="Footer"/>
          <w:jc w:val="right"/>
          <w:rPr>
            <w:noProof/>
          </w:rPr>
        </w:pPr>
        <w:r>
          <w:rPr>
            <w:noProof/>
          </w:rPr>
          <w:t>September 20</w:t>
        </w:r>
        <w:r w:rsidR="00C372E6">
          <w:rPr>
            <w:noProof/>
          </w:rPr>
          <w:t>, 2018</w:t>
        </w:r>
      </w:p>
    </w:sdtContent>
  </w:sdt>
  <w:p w14:paraId="24CFC6F3"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03078" w14:textId="77777777" w:rsidR="00FD6AB4" w:rsidRDefault="00FD6AB4">
      <w:r>
        <w:separator/>
      </w:r>
    </w:p>
  </w:footnote>
  <w:footnote w:type="continuationSeparator" w:id="0">
    <w:p w14:paraId="52203D6A" w14:textId="77777777" w:rsidR="00FD6AB4" w:rsidRDefault="00FD6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8B45" w14:textId="77777777" w:rsidR="004567F0" w:rsidRDefault="004567F0" w:rsidP="004567F0">
    <w:pPr>
      <w:pStyle w:val="Header"/>
      <w:jc w:val="center"/>
      <w:rPr>
        <w:rFonts w:asciiTheme="minorHAnsi" w:hAnsiTheme="minorHAnsi"/>
        <w:sz w:val="32"/>
      </w:rPr>
    </w:pPr>
    <w:r>
      <w:rPr>
        <w:rFonts w:asciiTheme="minorHAnsi" w:hAnsiTheme="minorHAnsi"/>
        <w:sz w:val="32"/>
      </w:rPr>
      <w:t>NAF Accounting Working Group</w:t>
    </w:r>
  </w:p>
  <w:p w14:paraId="49FB4441" w14:textId="77777777" w:rsidR="00953FE4" w:rsidRDefault="004567F0" w:rsidP="00437683">
    <w:pPr>
      <w:pStyle w:val="Header"/>
      <w:jc w:val="center"/>
      <w:rPr>
        <w:rFonts w:asciiTheme="minorHAnsi" w:hAnsiTheme="minorHAnsi"/>
        <w:sz w:val="32"/>
      </w:rPr>
    </w:pPr>
    <w:r>
      <w:rPr>
        <w:rFonts w:asciiTheme="minorHAnsi" w:hAnsiTheme="minorHAnsi"/>
        <w:sz w:val="32"/>
      </w:rPr>
      <w:t>D</w:t>
    </w:r>
    <w:r w:rsidR="004B4350">
      <w:rPr>
        <w:rFonts w:asciiTheme="minorHAnsi" w:hAnsiTheme="minorHAnsi"/>
        <w:sz w:val="32"/>
      </w:rPr>
      <w:t xml:space="preserve">irect </w:t>
    </w:r>
    <w:r w:rsidR="005F00F2">
      <w:rPr>
        <w:rFonts w:asciiTheme="minorHAnsi" w:hAnsiTheme="minorHAnsi"/>
        <w:sz w:val="32"/>
      </w:rPr>
      <w:t xml:space="preserve">and Indirect </w:t>
    </w:r>
    <w:r w:rsidR="001123C8">
      <w:rPr>
        <w:rFonts w:asciiTheme="minorHAnsi" w:hAnsiTheme="minorHAnsi"/>
        <w:sz w:val="32"/>
      </w:rPr>
      <w:t>Overhead</w:t>
    </w:r>
    <w:r w:rsidR="00DA4A32">
      <w:rPr>
        <w:rFonts w:asciiTheme="minorHAnsi" w:hAnsiTheme="minorHAnsi"/>
        <w:sz w:val="32"/>
      </w:rPr>
      <w:t xml:space="preserve">/ Common Support </w:t>
    </w:r>
    <w:r w:rsidR="005F00F2">
      <w:rPr>
        <w:rFonts w:asciiTheme="minorHAnsi" w:hAnsiTheme="minorHAnsi"/>
        <w:sz w:val="32"/>
      </w:rPr>
      <w:t xml:space="preserve">Definition </w:t>
    </w:r>
  </w:p>
  <w:p w14:paraId="2B40D299" w14:textId="1F7AEDA3" w:rsidR="00834B9A" w:rsidRPr="00437683" w:rsidRDefault="006D7DFB" w:rsidP="00437683">
    <w:pPr>
      <w:pStyle w:val="Header"/>
      <w:jc w:val="center"/>
      <w:rPr>
        <w:rFonts w:asciiTheme="minorHAnsi" w:hAnsiTheme="minorHAnsi"/>
        <w:sz w:val="32"/>
      </w:rPr>
    </w:pPr>
    <w:r>
      <w:rPr>
        <w:rFonts w:asciiTheme="minorHAnsi" w:hAnsiTheme="minorHAnsi"/>
        <w:sz w:val="32"/>
      </w:rPr>
      <w:t>Position</w:t>
    </w:r>
    <w:r w:rsidR="004567F0">
      <w:rPr>
        <w:rFonts w:asciiTheme="minorHAnsi" w:hAnsiTheme="minorHAnsi"/>
        <w:sz w:val="32"/>
      </w:rPr>
      <w:t xml:space="preserve"> Paper #15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B636876"/>
    <w:multiLevelType w:val="hybridMultilevel"/>
    <w:tmpl w:val="9BCC5B16"/>
    <w:lvl w:ilvl="0" w:tplc="0B56238A">
      <w:start w:val="1"/>
      <w:numFmt w:val="decimal"/>
      <w:lvlText w:val="%1.)"/>
      <w:lvlJc w:val="left"/>
      <w:pPr>
        <w:ind w:left="-900" w:hanging="360"/>
      </w:pPr>
      <w:rPr>
        <w:rFonts w:hint="default"/>
      </w:rPr>
    </w:lvl>
    <w:lvl w:ilvl="1" w:tplc="04090019">
      <w:start w:val="1"/>
      <w:numFmt w:val="lowerLetter"/>
      <w:lvlText w:val="%2."/>
      <w:lvlJc w:val="left"/>
      <w:pPr>
        <w:ind w:left="-180" w:hanging="360"/>
      </w:pPr>
    </w:lvl>
    <w:lvl w:ilvl="2" w:tplc="6DB2AF36">
      <w:start w:val="1"/>
      <w:numFmt w:val="upperRoman"/>
      <w:lvlText w:val="%3."/>
      <w:lvlJc w:val="left"/>
      <w:pPr>
        <w:ind w:left="1080" w:hanging="720"/>
      </w:pPr>
      <w:rPr>
        <w:rFonts w:hint="default"/>
      </w:rPr>
    </w:lvl>
    <w:lvl w:ilvl="3" w:tplc="B7BA074E">
      <w:start w:val="1"/>
      <w:numFmt w:val="decimal"/>
      <w:lvlText w:val="%4."/>
      <w:lvlJc w:val="left"/>
      <w:pPr>
        <w:ind w:left="1260" w:hanging="360"/>
      </w:pPr>
      <w:rPr>
        <w:rFonts w:hint="default"/>
      </w:r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1" w15:restartNumberingAfterBreak="0">
    <w:nsid w:val="22111CD3"/>
    <w:multiLevelType w:val="hybridMultilevel"/>
    <w:tmpl w:val="29FE4D14"/>
    <w:lvl w:ilvl="0" w:tplc="3A7C2970">
      <w:start w:val="9"/>
      <w:numFmt w:val="low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DB77BD"/>
    <w:multiLevelType w:val="hybridMultilevel"/>
    <w:tmpl w:val="6FCA1EF0"/>
    <w:lvl w:ilvl="0" w:tplc="FB48C030">
      <w:start w:val="9"/>
      <w:numFmt w:val="low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0"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E47CC"/>
    <w:multiLevelType w:val="hybridMultilevel"/>
    <w:tmpl w:val="1F600644"/>
    <w:lvl w:ilvl="0" w:tplc="6E3A0C10">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2" w15:restartNumberingAfterBreak="0">
    <w:nsid w:val="5D2D52FB"/>
    <w:multiLevelType w:val="hybridMultilevel"/>
    <w:tmpl w:val="4502CA14"/>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3" w15:restartNumberingAfterBreak="0">
    <w:nsid w:val="610E1AB8"/>
    <w:multiLevelType w:val="hybridMultilevel"/>
    <w:tmpl w:val="8954D3D8"/>
    <w:lvl w:ilvl="0" w:tplc="0409000F">
      <w:start w:val="1"/>
      <w:numFmt w:val="decimal"/>
      <w:lvlText w:val="%1."/>
      <w:lvlJc w:val="left"/>
      <w:pPr>
        <w:ind w:left="-54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4" w15:restartNumberingAfterBreak="0">
    <w:nsid w:val="63DE0169"/>
    <w:multiLevelType w:val="hybridMultilevel"/>
    <w:tmpl w:val="9BEC207C"/>
    <w:lvl w:ilvl="0" w:tplc="BFC807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230932"/>
    <w:multiLevelType w:val="hybridMultilevel"/>
    <w:tmpl w:val="D6D43D48"/>
    <w:lvl w:ilvl="0" w:tplc="08BEA7CC">
      <w:start w:val="1"/>
      <w:numFmt w:val="decimal"/>
      <w:lvlText w:val="%1."/>
      <w:lvlJc w:val="left"/>
      <w:pPr>
        <w:ind w:left="-900" w:hanging="360"/>
      </w:pPr>
      <w:rPr>
        <w:rFonts w:hint="default"/>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27"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06573B"/>
    <w:multiLevelType w:val="hybridMultilevel"/>
    <w:tmpl w:val="761EEED8"/>
    <w:lvl w:ilvl="0" w:tplc="B7BA074E">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6"/>
  </w:num>
  <w:num w:numId="4">
    <w:abstractNumId w:val="3"/>
  </w:num>
  <w:num w:numId="5">
    <w:abstractNumId w:val="2"/>
  </w:num>
  <w:num w:numId="6">
    <w:abstractNumId w:val="1"/>
  </w:num>
  <w:num w:numId="7">
    <w:abstractNumId w:val="0"/>
  </w:num>
  <w:num w:numId="8">
    <w:abstractNumId w:val="9"/>
  </w:num>
  <w:num w:numId="9">
    <w:abstractNumId w:val="17"/>
  </w:num>
  <w:num w:numId="10">
    <w:abstractNumId w:val="15"/>
  </w:num>
  <w:num w:numId="11">
    <w:abstractNumId w:val="13"/>
  </w:num>
  <w:num w:numId="12">
    <w:abstractNumId w:val="16"/>
  </w:num>
  <w:num w:numId="13">
    <w:abstractNumId w:val="8"/>
  </w:num>
  <w:num w:numId="14">
    <w:abstractNumId w:val="12"/>
  </w:num>
  <w:num w:numId="15">
    <w:abstractNumId w:val="20"/>
  </w:num>
  <w:num w:numId="16">
    <w:abstractNumId w:val="5"/>
  </w:num>
  <w:num w:numId="17">
    <w:abstractNumId w:val="14"/>
  </w:num>
  <w:num w:numId="18">
    <w:abstractNumId w:val="31"/>
  </w:num>
  <w:num w:numId="19">
    <w:abstractNumId w:val="27"/>
  </w:num>
  <w:num w:numId="20">
    <w:abstractNumId w:val="18"/>
  </w:num>
  <w:num w:numId="21">
    <w:abstractNumId w:val="7"/>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9"/>
  </w:num>
  <w:num w:numId="25">
    <w:abstractNumId w:val="23"/>
  </w:num>
  <w:num w:numId="26">
    <w:abstractNumId w:val="10"/>
  </w:num>
  <w:num w:numId="27">
    <w:abstractNumId w:val="26"/>
  </w:num>
  <w:num w:numId="28">
    <w:abstractNumId w:val="11"/>
  </w:num>
  <w:num w:numId="29">
    <w:abstractNumId w:val="19"/>
  </w:num>
  <w:num w:numId="30">
    <w:abstractNumId w:val="28"/>
  </w:num>
  <w:num w:numId="31">
    <w:abstractNumId w:val="24"/>
  </w:num>
  <w:num w:numId="32">
    <w:abstractNumId w:val="21"/>
  </w:num>
  <w:num w:numId="33">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8EC"/>
    <w:rsid w:val="00007EFC"/>
    <w:rsid w:val="0001466E"/>
    <w:rsid w:val="000309B7"/>
    <w:rsid w:val="000453C5"/>
    <w:rsid w:val="00046FB6"/>
    <w:rsid w:val="00053123"/>
    <w:rsid w:val="00055ABA"/>
    <w:rsid w:val="00064DEA"/>
    <w:rsid w:val="0006741A"/>
    <w:rsid w:val="000723DB"/>
    <w:rsid w:val="00074688"/>
    <w:rsid w:val="00074A55"/>
    <w:rsid w:val="00081F07"/>
    <w:rsid w:val="000928D9"/>
    <w:rsid w:val="0009339B"/>
    <w:rsid w:val="0009688F"/>
    <w:rsid w:val="000B3111"/>
    <w:rsid w:val="000B34AF"/>
    <w:rsid w:val="000C0E21"/>
    <w:rsid w:val="000C7B49"/>
    <w:rsid w:val="000E0DCA"/>
    <w:rsid w:val="000E3FDF"/>
    <w:rsid w:val="000F700D"/>
    <w:rsid w:val="00103B72"/>
    <w:rsid w:val="001123C8"/>
    <w:rsid w:val="001147A0"/>
    <w:rsid w:val="00114DA2"/>
    <w:rsid w:val="00124F91"/>
    <w:rsid w:val="0012715F"/>
    <w:rsid w:val="001310A3"/>
    <w:rsid w:val="00135303"/>
    <w:rsid w:val="001355C0"/>
    <w:rsid w:val="00135B4E"/>
    <w:rsid w:val="00140D57"/>
    <w:rsid w:val="001435AF"/>
    <w:rsid w:val="00156EF7"/>
    <w:rsid w:val="00171E46"/>
    <w:rsid w:val="00172933"/>
    <w:rsid w:val="00181179"/>
    <w:rsid w:val="0018397B"/>
    <w:rsid w:val="0018752C"/>
    <w:rsid w:val="001902A4"/>
    <w:rsid w:val="001A0B88"/>
    <w:rsid w:val="001A5E2C"/>
    <w:rsid w:val="001B6864"/>
    <w:rsid w:val="001D40C4"/>
    <w:rsid w:val="001E01B8"/>
    <w:rsid w:val="001E45B8"/>
    <w:rsid w:val="001E60EE"/>
    <w:rsid w:val="001E6F57"/>
    <w:rsid w:val="001F09F0"/>
    <w:rsid w:val="00200A58"/>
    <w:rsid w:val="00202660"/>
    <w:rsid w:val="0020389E"/>
    <w:rsid w:val="002039A2"/>
    <w:rsid w:val="002062AA"/>
    <w:rsid w:val="00210DD0"/>
    <w:rsid w:val="00213D94"/>
    <w:rsid w:val="002208F1"/>
    <w:rsid w:val="00225F1E"/>
    <w:rsid w:val="00226C5D"/>
    <w:rsid w:val="00230974"/>
    <w:rsid w:val="0023386C"/>
    <w:rsid w:val="00244470"/>
    <w:rsid w:val="00245DF7"/>
    <w:rsid w:val="00246F96"/>
    <w:rsid w:val="002479EF"/>
    <w:rsid w:val="002542F2"/>
    <w:rsid w:val="00254FC0"/>
    <w:rsid w:val="00257D56"/>
    <w:rsid w:val="00262A77"/>
    <w:rsid w:val="00263B6E"/>
    <w:rsid w:val="00266DE9"/>
    <w:rsid w:val="00273469"/>
    <w:rsid w:val="00277DC7"/>
    <w:rsid w:val="00281D8A"/>
    <w:rsid w:val="00286702"/>
    <w:rsid w:val="00287293"/>
    <w:rsid w:val="0029144B"/>
    <w:rsid w:val="002A3EB0"/>
    <w:rsid w:val="002A5C61"/>
    <w:rsid w:val="002B690C"/>
    <w:rsid w:val="002C0344"/>
    <w:rsid w:val="002C131F"/>
    <w:rsid w:val="002C4C4E"/>
    <w:rsid w:val="002C51B2"/>
    <w:rsid w:val="002E27C0"/>
    <w:rsid w:val="002F28B3"/>
    <w:rsid w:val="002F57FA"/>
    <w:rsid w:val="002F6648"/>
    <w:rsid w:val="0030084D"/>
    <w:rsid w:val="00305C57"/>
    <w:rsid w:val="0030628A"/>
    <w:rsid w:val="00323A26"/>
    <w:rsid w:val="00324FB3"/>
    <w:rsid w:val="00341F7A"/>
    <w:rsid w:val="00342E2F"/>
    <w:rsid w:val="00343CDC"/>
    <w:rsid w:val="00352D5F"/>
    <w:rsid w:val="00362359"/>
    <w:rsid w:val="00375E78"/>
    <w:rsid w:val="00382AA2"/>
    <w:rsid w:val="00383053"/>
    <w:rsid w:val="00384C83"/>
    <w:rsid w:val="00391BB7"/>
    <w:rsid w:val="003A20B9"/>
    <w:rsid w:val="003B15DD"/>
    <w:rsid w:val="003B345C"/>
    <w:rsid w:val="003C1121"/>
    <w:rsid w:val="003C2B4A"/>
    <w:rsid w:val="003C3288"/>
    <w:rsid w:val="003C686A"/>
    <w:rsid w:val="003D27B2"/>
    <w:rsid w:val="003D2D7A"/>
    <w:rsid w:val="003E28A0"/>
    <w:rsid w:val="003E50EE"/>
    <w:rsid w:val="003E64D5"/>
    <w:rsid w:val="003E7371"/>
    <w:rsid w:val="003F016B"/>
    <w:rsid w:val="003F71F4"/>
    <w:rsid w:val="00402127"/>
    <w:rsid w:val="00402D78"/>
    <w:rsid w:val="00404FA6"/>
    <w:rsid w:val="004276FF"/>
    <w:rsid w:val="00433BC1"/>
    <w:rsid w:val="00437683"/>
    <w:rsid w:val="00442C2C"/>
    <w:rsid w:val="00442E96"/>
    <w:rsid w:val="0044428A"/>
    <w:rsid w:val="004567F0"/>
    <w:rsid w:val="00462903"/>
    <w:rsid w:val="004716A8"/>
    <w:rsid w:val="0047198B"/>
    <w:rsid w:val="0049507E"/>
    <w:rsid w:val="004975E2"/>
    <w:rsid w:val="004A14CA"/>
    <w:rsid w:val="004A1985"/>
    <w:rsid w:val="004A1BED"/>
    <w:rsid w:val="004A1BF3"/>
    <w:rsid w:val="004A2852"/>
    <w:rsid w:val="004A4E5E"/>
    <w:rsid w:val="004A63C0"/>
    <w:rsid w:val="004B04B3"/>
    <w:rsid w:val="004B12BE"/>
    <w:rsid w:val="004B4350"/>
    <w:rsid w:val="004C13D3"/>
    <w:rsid w:val="004C60DD"/>
    <w:rsid w:val="004C6F73"/>
    <w:rsid w:val="004D1D97"/>
    <w:rsid w:val="004E07FE"/>
    <w:rsid w:val="004E456D"/>
    <w:rsid w:val="004F4DAE"/>
    <w:rsid w:val="004F6804"/>
    <w:rsid w:val="005056DF"/>
    <w:rsid w:val="005124A6"/>
    <w:rsid w:val="00512FBE"/>
    <w:rsid w:val="00513946"/>
    <w:rsid w:val="00515008"/>
    <w:rsid w:val="005173CF"/>
    <w:rsid w:val="00520EF0"/>
    <w:rsid w:val="005305F6"/>
    <w:rsid w:val="005445C4"/>
    <w:rsid w:val="00556680"/>
    <w:rsid w:val="005620CE"/>
    <w:rsid w:val="0056384A"/>
    <w:rsid w:val="005662EA"/>
    <w:rsid w:val="0056792B"/>
    <w:rsid w:val="005760C0"/>
    <w:rsid w:val="00583801"/>
    <w:rsid w:val="00594619"/>
    <w:rsid w:val="005A2552"/>
    <w:rsid w:val="005A52D5"/>
    <w:rsid w:val="005A5EFD"/>
    <w:rsid w:val="005B2803"/>
    <w:rsid w:val="005B2DC9"/>
    <w:rsid w:val="005B36B4"/>
    <w:rsid w:val="005B382E"/>
    <w:rsid w:val="005B413F"/>
    <w:rsid w:val="005B5833"/>
    <w:rsid w:val="005C1E57"/>
    <w:rsid w:val="005D0632"/>
    <w:rsid w:val="005D4A27"/>
    <w:rsid w:val="005D66BD"/>
    <w:rsid w:val="005D7123"/>
    <w:rsid w:val="005E40E3"/>
    <w:rsid w:val="005E4B0E"/>
    <w:rsid w:val="005E51CB"/>
    <w:rsid w:val="005F00F2"/>
    <w:rsid w:val="005F3D8E"/>
    <w:rsid w:val="005F4E22"/>
    <w:rsid w:val="00612144"/>
    <w:rsid w:val="00614C6D"/>
    <w:rsid w:val="00614F7A"/>
    <w:rsid w:val="00617250"/>
    <w:rsid w:val="006206E0"/>
    <w:rsid w:val="006227D6"/>
    <w:rsid w:val="0063170A"/>
    <w:rsid w:val="00642FFA"/>
    <w:rsid w:val="0065297E"/>
    <w:rsid w:val="00653EA8"/>
    <w:rsid w:val="00655FDE"/>
    <w:rsid w:val="00657135"/>
    <w:rsid w:val="00660F95"/>
    <w:rsid w:val="0066155B"/>
    <w:rsid w:val="00677C39"/>
    <w:rsid w:val="00680AC5"/>
    <w:rsid w:val="00684DC7"/>
    <w:rsid w:val="00685921"/>
    <w:rsid w:val="00686259"/>
    <w:rsid w:val="00690A64"/>
    <w:rsid w:val="0069504B"/>
    <w:rsid w:val="006959C4"/>
    <w:rsid w:val="006B07F7"/>
    <w:rsid w:val="006B5CFA"/>
    <w:rsid w:val="006B75A6"/>
    <w:rsid w:val="006C1360"/>
    <w:rsid w:val="006D0412"/>
    <w:rsid w:val="006D745D"/>
    <w:rsid w:val="006D7DFB"/>
    <w:rsid w:val="006E03BB"/>
    <w:rsid w:val="006F30D9"/>
    <w:rsid w:val="006F4F55"/>
    <w:rsid w:val="0070738E"/>
    <w:rsid w:val="00710D7A"/>
    <w:rsid w:val="00713DA9"/>
    <w:rsid w:val="00714AC4"/>
    <w:rsid w:val="00717578"/>
    <w:rsid w:val="00723E32"/>
    <w:rsid w:val="00730AE1"/>
    <w:rsid w:val="007316D6"/>
    <w:rsid w:val="00742980"/>
    <w:rsid w:val="00742B72"/>
    <w:rsid w:val="00751703"/>
    <w:rsid w:val="00753436"/>
    <w:rsid w:val="007541EA"/>
    <w:rsid w:val="00754D73"/>
    <w:rsid w:val="00755CE2"/>
    <w:rsid w:val="0077160F"/>
    <w:rsid w:val="007918B4"/>
    <w:rsid w:val="00793390"/>
    <w:rsid w:val="00794334"/>
    <w:rsid w:val="0079454C"/>
    <w:rsid w:val="007A4A5D"/>
    <w:rsid w:val="007A6EA8"/>
    <w:rsid w:val="007B2C72"/>
    <w:rsid w:val="007B2CA1"/>
    <w:rsid w:val="007B41B3"/>
    <w:rsid w:val="007C4C86"/>
    <w:rsid w:val="007D7088"/>
    <w:rsid w:val="007E04F1"/>
    <w:rsid w:val="007E0913"/>
    <w:rsid w:val="007F5423"/>
    <w:rsid w:val="007F5873"/>
    <w:rsid w:val="007F6744"/>
    <w:rsid w:val="007F6A23"/>
    <w:rsid w:val="00811031"/>
    <w:rsid w:val="00814E8F"/>
    <w:rsid w:val="0082211C"/>
    <w:rsid w:val="00830F7D"/>
    <w:rsid w:val="00830F81"/>
    <w:rsid w:val="00834B9A"/>
    <w:rsid w:val="00835D15"/>
    <w:rsid w:val="008402CA"/>
    <w:rsid w:val="008431A3"/>
    <w:rsid w:val="0084460E"/>
    <w:rsid w:val="00850E2C"/>
    <w:rsid w:val="008612FE"/>
    <w:rsid w:val="00873287"/>
    <w:rsid w:val="00884B99"/>
    <w:rsid w:val="00885468"/>
    <w:rsid w:val="008A3F93"/>
    <w:rsid w:val="008A4593"/>
    <w:rsid w:val="008A52F6"/>
    <w:rsid w:val="008A6680"/>
    <w:rsid w:val="008C0829"/>
    <w:rsid w:val="008C087F"/>
    <w:rsid w:val="008C2E4C"/>
    <w:rsid w:val="008C4D6B"/>
    <w:rsid w:val="008C7E90"/>
    <w:rsid w:val="008D2123"/>
    <w:rsid w:val="008E7E4B"/>
    <w:rsid w:val="008F1FA1"/>
    <w:rsid w:val="008F6501"/>
    <w:rsid w:val="008F7DF8"/>
    <w:rsid w:val="00903A0C"/>
    <w:rsid w:val="00906ED3"/>
    <w:rsid w:val="0091000D"/>
    <w:rsid w:val="009155E8"/>
    <w:rsid w:val="009176E5"/>
    <w:rsid w:val="009178E1"/>
    <w:rsid w:val="00921781"/>
    <w:rsid w:val="00922BDE"/>
    <w:rsid w:val="00926D4D"/>
    <w:rsid w:val="009321A5"/>
    <w:rsid w:val="0093411F"/>
    <w:rsid w:val="0093757F"/>
    <w:rsid w:val="00943DC9"/>
    <w:rsid w:val="0094703B"/>
    <w:rsid w:val="00950DDB"/>
    <w:rsid w:val="00951A79"/>
    <w:rsid w:val="00951C84"/>
    <w:rsid w:val="00953FE4"/>
    <w:rsid w:val="00962760"/>
    <w:rsid w:val="00963CF5"/>
    <w:rsid w:val="00971355"/>
    <w:rsid w:val="009728E5"/>
    <w:rsid w:val="00980E0D"/>
    <w:rsid w:val="009903E9"/>
    <w:rsid w:val="0099726B"/>
    <w:rsid w:val="009A512E"/>
    <w:rsid w:val="009B373B"/>
    <w:rsid w:val="009B3DF9"/>
    <w:rsid w:val="009B46A7"/>
    <w:rsid w:val="009B65C3"/>
    <w:rsid w:val="009C145E"/>
    <w:rsid w:val="009C737B"/>
    <w:rsid w:val="009C7BC7"/>
    <w:rsid w:val="009D7B4D"/>
    <w:rsid w:val="009E448C"/>
    <w:rsid w:val="009E4558"/>
    <w:rsid w:val="009E5112"/>
    <w:rsid w:val="009E5EAC"/>
    <w:rsid w:val="00A05B80"/>
    <w:rsid w:val="00A0741D"/>
    <w:rsid w:val="00A11058"/>
    <w:rsid w:val="00A11B0F"/>
    <w:rsid w:val="00A232A3"/>
    <w:rsid w:val="00A2622D"/>
    <w:rsid w:val="00A33CAB"/>
    <w:rsid w:val="00A41432"/>
    <w:rsid w:val="00A4186E"/>
    <w:rsid w:val="00A430C2"/>
    <w:rsid w:val="00A45E63"/>
    <w:rsid w:val="00A5734B"/>
    <w:rsid w:val="00A576BD"/>
    <w:rsid w:val="00A64C29"/>
    <w:rsid w:val="00A70376"/>
    <w:rsid w:val="00A74F6E"/>
    <w:rsid w:val="00A7516A"/>
    <w:rsid w:val="00A77308"/>
    <w:rsid w:val="00A868E1"/>
    <w:rsid w:val="00A911B8"/>
    <w:rsid w:val="00AA017B"/>
    <w:rsid w:val="00AA4126"/>
    <w:rsid w:val="00AB4F60"/>
    <w:rsid w:val="00AB72D0"/>
    <w:rsid w:val="00AC06AF"/>
    <w:rsid w:val="00AC2159"/>
    <w:rsid w:val="00AC2CD2"/>
    <w:rsid w:val="00AC54D3"/>
    <w:rsid w:val="00AD1162"/>
    <w:rsid w:val="00AD192A"/>
    <w:rsid w:val="00AD65D9"/>
    <w:rsid w:val="00AE1129"/>
    <w:rsid w:val="00AF0197"/>
    <w:rsid w:val="00AF6BD9"/>
    <w:rsid w:val="00AF6D8B"/>
    <w:rsid w:val="00B03888"/>
    <w:rsid w:val="00B11619"/>
    <w:rsid w:val="00B11A05"/>
    <w:rsid w:val="00B17D65"/>
    <w:rsid w:val="00B24956"/>
    <w:rsid w:val="00B32748"/>
    <w:rsid w:val="00B32AE0"/>
    <w:rsid w:val="00B340EF"/>
    <w:rsid w:val="00B3571B"/>
    <w:rsid w:val="00B426FF"/>
    <w:rsid w:val="00B4503F"/>
    <w:rsid w:val="00B506B3"/>
    <w:rsid w:val="00B555AF"/>
    <w:rsid w:val="00B5651B"/>
    <w:rsid w:val="00B63743"/>
    <w:rsid w:val="00B72016"/>
    <w:rsid w:val="00B80AE9"/>
    <w:rsid w:val="00B8132D"/>
    <w:rsid w:val="00B878FA"/>
    <w:rsid w:val="00B90DAD"/>
    <w:rsid w:val="00B938BC"/>
    <w:rsid w:val="00B95EE3"/>
    <w:rsid w:val="00BA5A26"/>
    <w:rsid w:val="00BA6660"/>
    <w:rsid w:val="00BB2D7A"/>
    <w:rsid w:val="00BB53DB"/>
    <w:rsid w:val="00BB5BC4"/>
    <w:rsid w:val="00BB5F9B"/>
    <w:rsid w:val="00BC2607"/>
    <w:rsid w:val="00BC370C"/>
    <w:rsid w:val="00BC66D0"/>
    <w:rsid w:val="00BC690C"/>
    <w:rsid w:val="00BD2521"/>
    <w:rsid w:val="00BD441B"/>
    <w:rsid w:val="00BE05D4"/>
    <w:rsid w:val="00BE2B16"/>
    <w:rsid w:val="00BE4EBB"/>
    <w:rsid w:val="00BE7657"/>
    <w:rsid w:val="00BF067D"/>
    <w:rsid w:val="00BF20F6"/>
    <w:rsid w:val="00C05FE2"/>
    <w:rsid w:val="00C068B0"/>
    <w:rsid w:val="00C10197"/>
    <w:rsid w:val="00C13DE9"/>
    <w:rsid w:val="00C17C22"/>
    <w:rsid w:val="00C20748"/>
    <w:rsid w:val="00C20EE4"/>
    <w:rsid w:val="00C242BA"/>
    <w:rsid w:val="00C26B8F"/>
    <w:rsid w:val="00C26BF0"/>
    <w:rsid w:val="00C26E0E"/>
    <w:rsid w:val="00C2729C"/>
    <w:rsid w:val="00C27CE8"/>
    <w:rsid w:val="00C32C11"/>
    <w:rsid w:val="00C372E6"/>
    <w:rsid w:val="00C40A2D"/>
    <w:rsid w:val="00C46771"/>
    <w:rsid w:val="00C53E47"/>
    <w:rsid w:val="00C55B6E"/>
    <w:rsid w:val="00C57363"/>
    <w:rsid w:val="00C663FA"/>
    <w:rsid w:val="00C67082"/>
    <w:rsid w:val="00C74A9A"/>
    <w:rsid w:val="00C74D9F"/>
    <w:rsid w:val="00C8218A"/>
    <w:rsid w:val="00C90BDC"/>
    <w:rsid w:val="00C910A7"/>
    <w:rsid w:val="00C91D86"/>
    <w:rsid w:val="00C92D9D"/>
    <w:rsid w:val="00C93A95"/>
    <w:rsid w:val="00C94F57"/>
    <w:rsid w:val="00C94FBF"/>
    <w:rsid w:val="00C953CA"/>
    <w:rsid w:val="00CA14CA"/>
    <w:rsid w:val="00CA44C4"/>
    <w:rsid w:val="00CA56BD"/>
    <w:rsid w:val="00CB43EB"/>
    <w:rsid w:val="00CB5DE1"/>
    <w:rsid w:val="00CB787B"/>
    <w:rsid w:val="00CC031E"/>
    <w:rsid w:val="00CC097E"/>
    <w:rsid w:val="00CD4636"/>
    <w:rsid w:val="00CD58E5"/>
    <w:rsid w:val="00CD6066"/>
    <w:rsid w:val="00CE3414"/>
    <w:rsid w:val="00CE39FF"/>
    <w:rsid w:val="00CF0137"/>
    <w:rsid w:val="00CF293F"/>
    <w:rsid w:val="00CF3CCD"/>
    <w:rsid w:val="00D021B1"/>
    <w:rsid w:val="00D0401F"/>
    <w:rsid w:val="00D0530D"/>
    <w:rsid w:val="00D0545B"/>
    <w:rsid w:val="00D07D08"/>
    <w:rsid w:val="00D12F3F"/>
    <w:rsid w:val="00D16DA5"/>
    <w:rsid w:val="00D20489"/>
    <w:rsid w:val="00D2104F"/>
    <w:rsid w:val="00D2342A"/>
    <w:rsid w:val="00D31974"/>
    <w:rsid w:val="00D466C6"/>
    <w:rsid w:val="00D53D16"/>
    <w:rsid w:val="00D541D0"/>
    <w:rsid w:val="00D54911"/>
    <w:rsid w:val="00D564FD"/>
    <w:rsid w:val="00D66796"/>
    <w:rsid w:val="00D708EE"/>
    <w:rsid w:val="00D71751"/>
    <w:rsid w:val="00D741CD"/>
    <w:rsid w:val="00D81FF3"/>
    <w:rsid w:val="00D84C8E"/>
    <w:rsid w:val="00D84F9D"/>
    <w:rsid w:val="00D93DFF"/>
    <w:rsid w:val="00D97570"/>
    <w:rsid w:val="00D97D7D"/>
    <w:rsid w:val="00DA4A32"/>
    <w:rsid w:val="00DC1E9B"/>
    <w:rsid w:val="00DC5E46"/>
    <w:rsid w:val="00DD5DC6"/>
    <w:rsid w:val="00DE1F78"/>
    <w:rsid w:val="00DE21B7"/>
    <w:rsid w:val="00DE346C"/>
    <w:rsid w:val="00DE7E60"/>
    <w:rsid w:val="00DF3AD4"/>
    <w:rsid w:val="00E107AD"/>
    <w:rsid w:val="00E2020D"/>
    <w:rsid w:val="00E21137"/>
    <w:rsid w:val="00E21DE5"/>
    <w:rsid w:val="00E25B04"/>
    <w:rsid w:val="00E305D9"/>
    <w:rsid w:val="00E31E60"/>
    <w:rsid w:val="00E43F30"/>
    <w:rsid w:val="00E46EBA"/>
    <w:rsid w:val="00E54D1F"/>
    <w:rsid w:val="00E55085"/>
    <w:rsid w:val="00E55760"/>
    <w:rsid w:val="00E60660"/>
    <w:rsid w:val="00E64D31"/>
    <w:rsid w:val="00E7184D"/>
    <w:rsid w:val="00E72C50"/>
    <w:rsid w:val="00E7374E"/>
    <w:rsid w:val="00E73F1A"/>
    <w:rsid w:val="00E749D0"/>
    <w:rsid w:val="00E75A0D"/>
    <w:rsid w:val="00E81BD8"/>
    <w:rsid w:val="00E82A4B"/>
    <w:rsid w:val="00E8543C"/>
    <w:rsid w:val="00E85B31"/>
    <w:rsid w:val="00E86CD3"/>
    <w:rsid w:val="00E86DF4"/>
    <w:rsid w:val="00E90A82"/>
    <w:rsid w:val="00E93CD4"/>
    <w:rsid w:val="00E95106"/>
    <w:rsid w:val="00E97C0E"/>
    <w:rsid w:val="00EA3427"/>
    <w:rsid w:val="00EB539E"/>
    <w:rsid w:val="00EC3C2B"/>
    <w:rsid w:val="00EC598D"/>
    <w:rsid w:val="00EC7577"/>
    <w:rsid w:val="00ED6A35"/>
    <w:rsid w:val="00EE40AD"/>
    <w:rsid w:val="00EE7C6A"/>
    <w:rsid w:val="00EF4601"/>
    <w:rsid w:val="00EF5DB8"/>
    <w:rsid w:val="00F056D3"/>
    <w:rsid w:val="00F07668"/>
    <w:rsid w:val="00F21151"/>
    <w:rsid w:val="00F26CD1"/>
    <w:rsid w:val="00F354CA"/>
    <w:rsid w:val="00F37C5C"/>
    <w:rsid w:val="00F44314"/>
    <w:rsid w:val="00F47B9A"/>
    <w:rsid w:val="00F47F67"/>
    <w:rsid w:val="00F55493"/>
    <w:rsid w:val="00F55B46"/>
    <w:rsid w:val="00F56DC3"/>
    <w:rsid w:val="00F70CC7"/>
    <w:rsid w:val="00F72AAB"/>
    <w:rsid w:val="00F807CB"/>
    <w:rsid w:val="00FA2F64"/>
    <w:rsid w:val="00FA5516"/>
    <w:rsid w:val="00FB1BD4"/>
    <w:rsid w:val="00FC20BB"/>
    <w:rsid w:val="00FC3D17"/>
    <w:rsid w:val="00FC5248"/>
    <w:rsid w:val="00FC525F"/>
    <w:rsid w:val="00FC70BD"/>
    <w:rsid w:val="00FD10B6"/>
    <w:rsid w:val="00FD6AB4"/>
    <w:rsid w:val="00FE2272"/>
    <w:rsid w:val="00FE6CFD"/>
    <w:rsid w:val="00FF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31E6F0A"/>
  <w15:docId w15:val="{1862DCCA-286D-4538-94CE-C1B4F13D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customStyle="1" w:styleId="GridTable41">
    <w:name w:val="Grid Table 41"/>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D9757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B8132D"/>
    <w:rPr>
      <w:rFonts w:ascii="Garamond" w:hAnsi="Garamond" w:cs="Arial"/>
      <w:sz w:val="22"/>
    </w:rPr>
  </w:style>
  <w:style w:type="paragraph" w:customStyle="1" w:styleId="armleftmargin000">
    <w:name w:val="arm_leftmargin_000"/>
    <w:basedOn w:val="Normal"/>
    <w:rsid w:val="000309B7"/>
    <w:pPr>
      <w:spacing w:after="24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926379872">
      <w:bodyDiv w:val="1"/>
      <w:marLeft w:val="0"/>
      <w:marRight w:val="0"/>
      <w:marTop w:val="0"/>
      <w:marBottom w:val="0"/>
      <w:divBdr>
        <w:top w:val="none" w:sz="0" w:space="0" w:color="auto"/>
        <w:left w:val="none" w:sz="0" w:space="0" w:color="auto"/>
        <w:bottom w:val="none" w:sz="0" w:space="0" w:color="auto"/>
        <w:right w:val="none" w:sz="0" w:space="0" w:color="auto"/>
      </w:divBdr>
    </w:div>
    <w:div w:id="1102454912">
      <w:bodyDiv w:val="1"/>
      <w:marLeft w:val="0"/>
      <w:marRight w:val="0"/>
      <w:marTop w:val="0"/>
      <w:marBottom w:val="0"/>
      <w:divBdr>
        <w:top w:val="none" w:sz="0" w:space="0" w:color="auto"/>
        <w:left w:val="none" w:sz="0" w:space="0" w:color="auto"/>
        <w:bottom w:val="none" w:sz="0" w:space="0" w:color="auto"/>
        <w:right w:val="none" w:sz="0" w:space="0" w:color="auto"/>
      </w:divBdr>
    </w:div>
    <w:div w:id="1301155367">
      <w:bodyDiv w:val="1"/>
      <w:marLeft w:val="0"/>
      <w:marRight w:val="0"/>
      <w:marTop w:val="0"/>
      <w:marBottom w:val="0"/>
      <w:divBdr>
        <w:top w:val="none" w:sz="0" w:space="0" w:color="auto"/>
        <w:left w:val="none" w:sz="0" w:space="0" w:color="auto"/>
        <w:bottom w:val="none" w:sz="0" w:space="0" w:color="auto"/>
        <w:right w:val="none" w:sz="0" w:space="0" w:color="auto"/>
      </w:divBdr>
      <w:divsChild>
        <w:div w:id="1391996583">
          <w:marLeft w:val="0"/>
          <w:marRight w:val="0"/>
          <w:marTop w:val="0"/>
          <w:marBottom w:val="0"/>
          <w:divBdr>
            <w:top w:val="none" w:sz="0" w:space="0" w:color="auto"/>
            <w:left w:val="none" w:sz="0" w:space="0" w:color="auto"/>
            <w:bottom w:val="none" w:sz="0" w:space="0" w:color="auto"/>
            <w:right w:val="none" w:sz="0" w:space="0" w:color="auto"/>
          </w:divBdr>
          <w:divsChild>
            <w:div w:id="1945379297">
              <w:marLeft w:val="0"/>
              <w:marRight w:val="0"/>
              <w:marTop w:val="0"/>
              <w:marBottom w:val="0"/>
              <w:divBdr>
                <w:top w:val="none" w:sz="0" w:space="0" w:color="auto"/>
                <w:left w:val="none" w:sz="0" w:space="0" w:color="auto"/>
                <w:bottom w:val="none" w:sz="0" w:space="0" w:color="auto"/>
                <w:right w:val="none" w:sz="0" w:space="0" w:color="auto"/>
              </w:divBdr>
              <w:divsChild>
                <w:div w:id="455610969">
                  <w:marLeft w:val="0"/>
                  <w:marRight w:val="0"/>
                  <w:marTop w:val="0"/>
                  <w:marBottom w:val="0"/>
                  <w:divBdr>
                    <w:top w:val="none" w:sz="0" w:space="0" w:color="auto"/>
                    <w:left w:val="none" w:sz="0" w:space="0" w:color="auto"/>
                    <w:bottom w:val="none" w:sz="0" w:space="0" w:color="auto"/>
                    <w:right w:val="none" w:sz="0" w:space="0" w:color="auto"/>
                  </w:divBdr>
                  <w:divsChild>
                    <w:div w:id="1998193818">
                      <w:marLeft w:val="-150"/>
                      <w:marRight w:val="-150"/>
                      <w:marTop w:val="0"/>
                      <w:marBottom w:val="0"/>
                      <w:divBdr>
                        <w:top w:val="none" w:sz="0" w:space="0" w:color="auto"/>
                        <w:left w:val="none" w:sz="0" w:space="0" w:color="auto"/>
                        <w:bottom w:val="none" w:sz="0" w:space="0" w:color="auto"/>
                        <w:right w:val="none" w:sz="0" w:space="0" w:color="auto"/>
                      </w:divBdr>
                      <w:divsChild>
                        <w:div w:id="1836261815">
                          <w:marLeft w:val="0"/>
                          <w:marRight w:val="0"/>
                          <w:marTop w:val="0"/>
                          <w:marBottom w:val="0"/>
                          <w:divBdr>
                            <w:top w:val="none" w:sz="0" w:space="0" w:color="auto"/>
                            <w:left w:val="none" w:sz="0" w:space="0" w:color="auto"/>
                            <w:bottom w:val="none" w:sz="0" w:space="0" w:color="auto"/>
                            <w:right w:val="none" w:sz="0" w:space="0" w:color="auto"/>
                          </w:divBdr>
                          <w:divsChild>
                            <w:div w:id="639962426">
                              <w:marLeft w:val="0"/>
                              <w:marRight w:val="0"/>
                              <w:marTop w:val="0"/>
                              <w:marBottom w:val="0"/>
                              <w:divBdr>
                                <w:top w:val="none" w:sz="0" w:space="0" w:color="auto"/>
                                <w:left w:val="none" w:sz="0" w:space="0" w:color="auto"/>
                                <w:bottom w:val="none" w:sz="0" w:space="0" w:color="auto"/>
                                <w:right w:val="none" w:sz="0" w:space="0" w:color="auto"/>
                              </w:divBdr>
                              <w:divsChild>
                                <w:div w:id="430204015">
                                  <w:marLeft w:val="0"/>
                                  <w:marRight w:val="0"/>
                                  <w:marTop w:val="0"/>
                                  <w:marBottom w:val="0"/>
                                  <w:divBdr>
                                    <w:top w:val="none" w:sz="0" w:space="0" w:color="auto"/>
                                    <w:left w:val="none" w:sz="0" w:space="0" w:color="auto"/>
                                    <w:bottom w:val="none" w:sz="0" w:space="0" w:color="auto"/>
                                    <w:right w:val="none" w:sz="0" w:space="0" w:color="auto"/>
                                  </w:divBdr>
                                  <w:divsChild>
                                    <w:div w:id="2067410681">
                                      <w:marLeft w:val="0"/>
                                      <w:marRight w:val="0"/>
                                      <w:marTop w:val="0"/>
                                      <w:marBottom w:val="0"/>
                                      <w:divBdr>
                                        <w:top w:val="none" w:sz="0" w:space="0" w:color="auto"/>
                                        <w:left w:val="none" w:sz="0" w:space="0" w:color="auto"/>
                                        <w:bottom w:val="none" w:sz="0" w:space="0" w:color="auto"/>
                                        <w:right w:val="none" w:sz="0" w:space="0" w:color="auto"/>
                                      </w:divBdr>
                                      <w:divsChild>
                                        <w:div w:id="1723947594">
                                          <w:marLeft w:val="0"/>
                                          <w:marRight w:val="0"/>
                                          <w:marTop w:val="0"/>
                                          <w:marBottom w:val="0"/>
                                          <w:divBdr>
                                            <w:top w:val="none" w:sz="0" w:space="0" w:color="auto"/>
                                            <w:left w:val="none" w:sz="0" w:space="0" w:color="auto"/>
                                            <w:bottom w:val="none" w:sz="0" w:space="0" w:color="auto"/>
                                            <w:right w:val="none" w:sz="0" w:space="0" w:color="auto"/>
                                          </w:divBdr>
                                          <w:divsChild>
                                            <w:div w:id="457144067">
                                              <w:marLeft w:val="0"/>
                                              <w:marRight w:val="0"/>
                                              <w:marTop w:val="0"/>
                                              <w:marBottom w:val="0"/>
                                              <w:divBdr>
                                                <w:top w:val="none" w:sz="0" w:space="0" w:color="auto"/>
                                                <w:left w:val="none" w:sz="0" w:space="0" w:color="auto"/>
                                                <w:bottom w:val="none" w:sz="0" w:space="0" w:color="auto"/>
                                                <w:right w:val="none" w:sz="0" w:space="0" w:color="auto"/>
                                              </w:divBdr>
                                              <w:divsChild>
                                                <w:div w:id="1512449414">
                                                  <w:marLeft w:val="0"/>
                                                  <w:marRight w:val="0"/>
                                                  <w:marTop w:val="0"/>
                                                  <w:marBottom w:val="0"/>
                                                  <w:divBdr>
                                                    <w:top w:val="none" w:sz="0" w:space="0" w:color="auto"/>
                                                    <w:left w:val="none" w:sz="0" w:space="0" w:color="auto"/>
                                                    <w:bottom w:val="none" w:sz="0" w:space="0" w:color="auto"/>
                                                    <w:right w:val="none" w:sz="0" w:space="0" w:color="auto"/>
                                                  </w:divBdr>
                                                  <w:divsChild>
                                                    <w:div w:id="71396789">
                                                      <w:marLeft w:val="0"/>
                                                      <w:marRight w:val="0"/>
                                                      <w:marTop w:val="0"/>
                                                      <w:marBottom w:val="0"/>
                                                      <w:divBdr>
                                                        <w:top w:val="none" w:sz="0" w:space="0" w:color="auto"/>
                                                        <w:left w:val="none" w:sz="0" w:space="0" w:color="auto"/>
                                                        <w:bottom w:val="none" w:sz="0" w:space="0" w:color="auto"/>
                                                        <w:right w:val="none" w:sz="0" w:space="0" w:color="auto"/>
                                                      </w:divBdr>
                                                      <w:divsChild>
                                                        <w:div w:id="21275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713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7F5CD-CCD4-447A-A161-49379285C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96DCB8F-4322-416A-9721-65AB71149CF3}">
  <ds:schemaRefs>
    <ds:schemaRef ds:uri="http://purl.org/dc/term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CF0C7254-9E9F-4972-98E6-3FD09B3623D7}">
  <ds:schemaRefs>
    <ds:schemaRef ds:uri="http://schemas.microsoft.com/sharepoint/v3/contenttype/forms"/>
  </ds:schemaRefs>
</ds:datastoreItem>
</file>

<file path=customXml/itemProps4.xml><?xml version="1.0" encoding="utf-8"?>
<ds:datastoreItem xmlns:ds="http://schemas.openxmlformats.org/officeDocument/2006/customXml" ds:itemID="{EE6E2250-260D-47E1-971C-13BE4CDBB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722</Words>
  <Characters>4702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3</cp:revision>
  <cp:lastPrinted>2019-02-04T15:54:00Z</cp:lastPrinted>
  <dcterms:created xsi:type="dcterms:W3CDTF">2019-08-20T20:04:00Z</dcterms:created>
  <dcterms:modified xsi:type="dcterms:W3CDTF">2019-08-20T20:05:00Z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